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A89" w14:textId="6BCE3065" w:rsidR="00EC1079" w:rsidRDefault="006A7639" w:rsidP="006A7639">
      <w:pPr>
        <w:pStyle w:val="Title"/>
      </w:pPr>
      <w:r>
        <w:t>Minutes</w:t>
      </w:r>
      <w:r w:rsidR="0008604A">
        <w:t xml:space="preserve">: crab and lobster </w:t>
      </w:r>
      <w:r w:rsidR="00DD6C77">
        <w:t>p</w:t>
      </w:r>
      <w:r w:rsidR="0008604A">
        <w:t>rinciple 1 and 3</w:t>
      </w:r>
      <w:r>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52215D3B" w:rsidR="005171E1" w:rsidRPr="0082653D" w:rsidRDefault="005171E1" w:rsidP="0082653D">
      <w:pPr>
        <w:pStyle w:val="DateandLocation"/>
      </w:pPr>
      <w:r w:rsidRPr="0082653D">
        <w:t>Meeting Date:</w:t>
      </w:r>
      <w:r w:rsidR="004A0E90">
        <w:t>19 January 2021</w:t>
      </w:r>
    </w:p>
    <w:p w14:paraId="7961ABF2" w14:textId="097969FD" w:rsidR="005171E1" w:rsidRPr="0082653D" w:rsidRDefault="005171E1" w:rsidP="0082653D">
      <w:pPr>
        <w:pStyle w:val="DateandLocation"/>
      </w:pPr>
      <w:r w:rsidRPr="0082653D">
        <w:t>Location:</w:t>
      </w:r>
      <w:r w:rsidR="004A0E90">
        <w:t xml:space="preserve"> Teams</w:t>
      </w:r>
    </w:p>
    <w:p w14:paraId="1A14F2A5" w14:textId="30AD552C" w:rsidR="00083AC4" w:rsidRDefault="00083AC4" w:rsidP="00F42911"/>
    <w:tbl>
      <w:tblPr>
        <w:tblStyle w:val="TableGrid"/>
        <w:tblW w:w="0" w:type="auto"/>
        <w:tblInd w:w="-5" w:type="dxa"/>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2552"/>
        <w:gridCol w:w="5103"/>
      </w:tblGrid>
      <w:tr w:rsidR="00871689" w:rsidRPr="00A85A75" w14:paraId="33D83384" w14:textId="77777777" w:rsidTr="0008604A">
        <w:tc>
          <w:tcPr>
            <w:tcW w:w="2552" w:type="dxa"/>
            <w:shd w:val="clear" w:color="auto" w:fill="1B98C7"/>
          </w:tcPr>
          <w:p w14:paraId="0BB9DE37" w14:textId="44BC68FE" w:rsidR="00AA7AEA" w:rsidRPr="00A85A75" w:rsidRDefault="00AA7AEA" w:rsidP="00AE0C52">
            <w:pPr>
              <w:pStyle w:val="TableHeading"/>
              <w:spacing w:before="120" w:after="120"/>
            </w:pPr>
            <w:r w:rsidRPr="00A85A75">
              <w:t>Attendee</w:t>
            </w:r>
          </w:p>
        </w:tc>
        <w:tc>
          <w:tcPr>
            <w:tcW w:w="5103" w:type="dxa"/>
            <w:shd w:val="clear" w:color="auto" w:fill="1B98C7"/>
          </w:tcPr>
          <w:p w14:paraId="1CA2FD32" w14:textId="31D70D2B" w:rsidR="00AA7AEA" w:rsidRPr="00A85A75" w:rsidRDefault="00AA7AEA" w:rsidP="00AE0C52">
            <w:pPr>
              <w:pStyle w:val="TableHeading"/>
              <w:spacing w:before="120" w:after="120"/>
            </w:pPr>
            <w:r>
              <w:t xml:space="preserve">Organisation </w:t>
            </w:r>
          </w:p>
        </w:tc>
      </w:tr>
      <w:tr w:rsidR="0065265E" w14:paraId="05915919" w14:textId="77777777" w:rsidTr="0008604A">
        <w:tc>
          <w:tcPr>
            <w:tcW w:w="2552" w:type="dxa"/>
          </w:tcPr>
          <w:p w14:paraId="083D2C51" w14:textId="6F07F877" w:rsidR="00AA7AEA" w:rsidRPr="00A048AE" w:rsidRDefault="00AA7AEA" w:rsidP="00F42911">
            <w:pPr>
              <w:pStyle w:val="TableText"/>
            </w:pPr>
            <w:r>
              <w:t>BP: Beshlie Pool</w:t>
            </w:r>
          </w:p>
        </w:tc>
        <w:tc>
          <w:tcPr>
            <w:tcW w:w="5103" w:type="dxa"/>
          </w:tcPr>
          <w:p w14:paraId="1A59E420" w14:textId="533F61E6" w:rsidR="00AA7AEA" w:rsidRPr="00A048AE" w:rsidRDefault="00732326" w:rsidP="00F42911">
            <w:pPr>
              <w:pStyle w:val="TableText"/>
            </w:pPr>
            <w:r>
              <w:t xml:space="preserve">South Devon and Channel Shellfishermen </w:t>
            </w:r>
          </w:p>
        </w:tc>
      </w:tr>
      <w:tr w:rsidR="0065265E" w14:paraId="16EBEA72" w14:textId="77777777" w:rsidTr="0008604A">
        <w:tc>
          <w:tcPr>
            <w:tcW w:w="2552" w:type="dxa"/>
          </w:tcPr>
          <w:p w14:paraId="3413D3C6" w14:textId="2659B0F2" w:rsidR="00AA7AEA" w:rsidRPr="00A048AE" w:rsidRDefault="00732326" w:rsidP="00F42911">
            <w:pPr>
              <w:pStyle w:val="TableText"/>
            </w:pPr>
            <w:r>
              <w:t>CP: Claire Pescod</w:t>
            </w:r>
          </w:p>
        </w:tc>
        <w:tc>
          <w:tcPr>
            <w:tcW w:w="5103" w:type="dxa"/>
          </w:tcPr>
          <w:p w14:paraId="39373B54" w14:textId="5BBD6CEF" w:rsidR="00AA7AEA" w:rsidRPr="00A048AE" w:rsidRDefault="00732326" w:rsidP="00F42911">
            <w:pPr>
              <w:pStyle w:val="TableText"/>
            </w:pPr>
            <w:r>
              <w:t>Macduff Shellfish</w:t>
            </w:r>
          </w:p>
        </w:tc>
      </w:tr>
      <w:tr w:rsidR="0065265E" w14:paraId="33A2A779" w14:textId="77777777" w:rsidTr="0008604A">
        <w:tc>
          <w:tcPr>
            <w:tcW w:w="2552" w:type="dxa"/>
          </w:tcPr>
          <w:p w14:paraId="738DE496" w14:textId="6D244115" w:rsidR="00AA7AEA" w:rsidRPr="00A048AE" w:rsidRDefault="003956AE" w:rsidP="00F42911">
            <w:pPr>
              <w:pStyle w:val="TableText"/>
            </w:pPr>
            <w:r>
              <w:t xml:space="preserve">CE: </w:t>
            </w:r>
            <w:r w:rsidR="005670DB">
              <w:t>Carley</w:t>
            </w:r>
            <w:r>
              <w:t xml:space="preserve"> </w:t>
            </w:r>
            <w:r w:rsidR="005670DB">
              <w:t>Elson</w:t>
            </w:r>
          </w:p>
        </w:tc>
        <w:tc>
          <w:tcPr>
            <w:tcW w:w="5103" w:type="dxa"/>
          </w:tcPr>
          <w:p w14:paraId="53670E76" w14:textId="7A24CC48" w:rsidR="00AA7AEA" w:rsidRPr="00A048AE" w:rsidRDefault="005670DB" w:rsidP="00F42911">
            <w:pPr>
              <w:pStyle w:val="TableText"/>
            </w:pPr>
            <w:r>
              <w:t xml:space="preserve">Marine Management Organisation </w:t>
            </w:r>
          </w:p>
        </w:tc>
      </w:tr>
      <w:tr w:rsidR="0065265E" w14:paraId="00289128" w14:textId="77777777" w:rsidTr="0008604A">
        <w:tc>
          <w:tcPr>
            <w:tcW w:w="2552" w:type="dxa"/>
          </w:tcPr>
          <w:p w14:paraId="74896EA1" w14:textId="2D5CB9B7" w:rsidR="002A17F7" w:rsidRDefault="002A17F7" w:rsidP="00F42911">
            <w:pPr>
              <w:pStyle w:val="TableText"/>
            </w:pPr>
            <w:r>
              <w:t>DM: David Markham</w:t>
            </w:r>
          </w:p>
        </w:tc>
        <w:tc>
          <w:tcPr>
            <w:tcW w:w="5103" w:type="dxa"/>
          </w:tcPr>
          <w:p w14:paraId="57660708" w14:textId="0E2F82F2" w:rsidR="002A17F7" w:rsidRDefault="00C805C5" w:rsidP="00F42911">
            <w:pPr>
              <w:pStyle w:val="TableText"/>
            </w:pPr>
            <w:r>
              <w:t xml:space="preserve">Blue Sea Food Company </w:t>
            </w:r>
          </w:p>
        </w:tc>
      </w:tr>
      <w:tr w:rsidR="0065265E" w14:paraId="669538A4" w14:textId="77777777" w:rsidTr="0008604A">
        <w:tc>
          <w:tcPr>
            <w:tcW w:w="2552" w:type="dxa"/>
          </w:tcPr>
          <w:p w14:paraId="01FFA84C" w14:textId="250EE948" w:rsidR="00AA7AEA" w:rsidRPr="00A048AE" w:rsidRDefault="005670DB" w:rsidP="00F42911">
            <w:pPr>
              <w:pStyle w:val="TableText"/>
            </w:pPr>
            <w:r>
              <w:t>EB: Ewen Bell</w:t>
            </w:r>
          </w:p>
        </w:tc>
        <w:tc>
          <w:tcPr>
            <w:tcW w:w="5103" w:type="dxa"/>
          </w:tcPr>
          <w:p w14:paraId="316764DD" w14:textId="49318FDC" w:rsidR="00AA7AEA" w:rsidRPr="00A048AE" w:rsidRDefault="003663D7" w:rsidP="00F42911">
            <w:pPr>
              <w:pStyle w:val="TableText"/>
            </w:pPr>
            <w:r w:rsidRPr="003663D7">
              <w:t>Centre for Environment, Fisheries and Aquaculture Science</w:t>
            </w:r>
          </w:p>
        </w:tc>
      </w:tr>
      <w:tr w:rsidR="0065265E" w14:paraId="2C033386" w14:textId="77777777" w:rsidTr="0008604A">
        <w:tc>
          <w:tcPr>
            <w:tcW w:w="2552" w:type="dxa"/>
          </w:tcPr>
          <w:p w14:paraId="23B3EBFC" w14:textId="76F41573" w:rsidR="00AC0FCF" w:rsidRDefault="00AC0FCF" w:rsidP="00F42911">
            <w:pPr>
              <w:pStyle w:val="TableText"/>
            </w:pPr>
            <w:proofErr w:type="spellStart"/>
            <w:r>
              <w:t>GCa</w:t>
            </w:r>
            <w:proofErr w:type="spellEnd"/>
            <w:r>
              <w:t>: Gus Caslake</w:t>
            </w:r>
          </w:p>
        </w:tc>
        <w:tc>
          <w:tcPr>
            <w:tcW w:w="5103" w:type="dxa"/>
          </w:tcPr>
          <w:p w14:paraId="4870D75F" w14:textId="0099A57C" w:rsidR="00AC0FCF" w:rsidRPr="003663D7" w:rsidRDefault="00AC0FCF" w:rsidP="00F42911">
            <w:pPr>
              <w:pStyle w:val="TableText"/>
            </w:pPr>
            <w:proofErr w:type="spellStart"/>
            <w:r>
              <w:t>Seafish</w:t>
            </w:r>
            <w:proofErr w:type="spellEnd"/>
            <w:r>
              <w:t xml:space="preserve"> </w:t>
            </w:r>
          </w:p>
        </w:tc>
      </w:tr>
      <w:tr w:rsidR="0065265E" w14:paraId="5DA2DC76" w14:textId="77777777" w:rsidTr="0008604A">
        <w:tc>
          <w:tcPr>
            <w:tcW w:w="2552" w:type="dxa"/>
          </w:tcPr>
          <w:p w14:paraId="1C19EB17" w14:textId="2E24F7DC" w:rsidR="00732326" w:rsidRPr="00A048AE" w:rsidRDefault="003663D7" w:rsidP="00F42911">
            <w:pPr>
              <w:pStyle w:val="TableText"/>
            </w:pPr>
            <w:proofErr w:type="spellStart"/>
            <w:r>
              <w:t>GC</w:t>
            </w:r>
            <w:r w:rsidR="00AC0FCF">
              <w:t>l</w:t>
            </w:r>
            <w:proofErr w:type="spellEnd"/>
            <w:r>
              <w:t>: George Clark</w:t>
            </w:r>
          </w:p>
        </w:tc>
        <w:tc>
          <w:tcPr>
            <w:tcW w:w="5103" w:type="dxa"/>
          </w:tcPr>
          <w:p w14:paraId="295C868F" w14:textId="0032DC02" w:rsidR="00732326" w:rsidRPr="00A048AE" w:rsidRDefault="003663D7" w:rsidP="00F42911">
            <w:pPr>
              <w:pStyle w:val="TableText"/>
            </w:pPr>
            <w:r>
              <w:t>Marine Stewardship Council</w:t>
            </w:r>
          </w:p>
        </w:tc>
      </w:tr>
      <w:tr w:rsidR="0065265E" w14:paraId="1EA490E7" w14:textId="77777777" w:rsidTr="0008604A">
        <w:tc>
          <w:tcPr>
            <w:tcW w:w="2552" w:type="dxa"/>
          </w:tcPr>
          <w:p w14:paraId="6F06D8C3" w14:textId="0536DEFD" w:rsidR="00BE3E2B" w:rsidRPr="00A048AE" w:rsidRDefault="00BE3E2B" w:rsidP="00BE3E2B">
            <w:pPr>
              <w:pStyle w:val="TableText"/>
            </w:pPr>
            <w:r>
              <w:t>HG: Hubert Gieschen</w:t>
            </w:r>
          </w:p>
        </w:tc>
        <w:tc>
          <w:tcPr>
            <w:tcW w:w="5103" w:type="dxa"/>
          </w:tcPr>
          <w:p w14:paraId="74B6A9FF" w14:textId="39399AE7" w:rsidR="00BE3E2B" w:rsidRPr="00A048AE" w:rsidRDefault="00BE3E2B" w:rsidP="00BE3E2B">
            <w:pPr>
              <w:pStyle w:val="TableText"/>
            </w:pPr>
            <w:r>
              <w:t xml:space="preserve">Marine Management Organisation </w:t>
            </w:r>
          </w:p>
        </w:tc>
      </w:tr>
      <w:tr w:rsidR="0065265E" w14:paraId="3FB115C4" w14:textId="77777777" w:rsidTr="0008604A">
        <w:tc>
          <w:tcPr>
            <w:tcW w:w="2552" w:type="dxa"/>
          </w:tcPr>
          <w:p w14:paraId="2425871B" w14:textId="4AFF5CDF" w:rsidR="00BE3E2B" w:rsidRPr="00A048AE" w:rsidRDefault="00BE3E2B" w:rsidP="00BE3E2B">
            <w:pPr>
              <w:pStyle w:val="TableText"/>
            </w:pPr>
            <w:r>
              <w:t>HH: Helen Hunter</w:t>
            </w:r>
          </w:p>
        </w:tc>
        <w:tc>
          <w:tcPr>
            <w:tcW w:w="5103" w:type="dxa"/>
          </w:tcPr>
          <w:p w14:paraId="4EBCE52F" w14:textId="36305B3C" w:rsidR="00BE3E2B" w:rsidRPr="00A048AE" w:rsidRDefault="00BE3E2B" w:rsidP="00BE3E2B">
            <w:pPr>
              <w:pStyle w:val="TableText"/>
            </w:pPr>
            <w:r w:rsidRPr="00BE3E2B">
              <w:t>Department for Environment, Food and Rural Affairs</w:t>
            </w:r>
          </w:p>
        </w:tc>
      </w:tr>
      <w:tr w:rsidR="0065265E" w14:paraId="30A42ADF" w14:textId="77777777" w:rsidTr="0008604A">
        <w:tc>
          <w:tcPr>
            <w:tcW w:w="2552" w:type="dxa"/>
          </w:tcPr>
          <w:p w14:paraId="055910F4" w14:textId="027CBE7C" w:rsidR="00B47A7F" w:rsidRDefault="00B47A7F" w:rsidP="00BE3E2B">
            <w:pPr>
              <w:pStyle w:val="TableText"/>
            </w:pPr>
            <w:r>
              <w:t xml:space="preserve">JB: John Balls </w:t>
            </w:r>
          </w:p>
        </w:tc>
        <w:tc>
          <w:tcPr>
            <w:tcW w:w="5103" w:type="dxa"/>
          </w:tcPr>
          <w:p w14:paraId="44EC19BC" w14:textId="0CCB041D" w:rsidR="00B47A7F" w:rsidRPr="00BE3E2B" w:rsidRDefault="008D0660" w:rsidP="00BE3E2B">
            <w:pPr>
              <w:pStyle w:val="TableText"/>
            </w:pPr>
            <w:r w:rsidRPr="008D0660">
              <w:t>North Devon Fishermen's Association</w:t>
            </w:r>
          </w:p>
        </w:tc>
      </w:tr>
      <w:tr w:rsidR="0065265E" w14:paraId="4A7D98E2" w14:textId="77777777" w:rsidTr="0008604A">
        <w:tc>
          <w:tcPr>
            <w:tcW w:w="2552" w:type="dxa"/>
          </w:tcPr>
          <w:p w14:paraId="05AADAED" w14:textId="370625FD" w:rsidR="00B47A7F" w:rsidRPr="00A048AE" w:rsidRDefault="00B47A7F" w:rsidP="00B47A7F">
            <w:pPr>
              <w:pStyle w:val="TableText"/>
            </w:pPr>
            <w:r>
              <w:t xml:space="preserve">JP: Jo Pollett </w:t>
            </w:r>
          </w:p>
        </w:tc>
        <w:tc>
          <w:tcPr>
            <w:tcW w:w="5103" w:type="dxa"/>
          </w:tcPr>
          <w:p w14:paraId="5F6F4381" w14:textId="059DB574" w:rsidR="00B47A7F" w:rsidRPr="00A048AE" w:rsidRDefault="00B47A7F" w:rsidP="00B47A7F">
            <w:pPr>
              <w:pStyle w:val="TableText"/>
            </w:pPr>
            <w:r>
              <w:t>Marine Stewardship Council</w:t>
            </w:r>
          </w:p>
        </w:tc>
      </w:tr>
      <w:tr w:rsidR="0065265E" w14:paraId="02F1411E" w14:textId="77777777" w:rsidTr="0008604A">
        <w:tc>
          <w:tcPr>
            <w:tcW w:w="2552" w:type="dxa"/>
          </w:tcPr>
          <w:p w14:paraId="4F5EFAF4" w14:textId="437836F1" w:rsidR="008D0660" w:rsidRPr="00A048AE" w:rsidRDefault="008D0660" w:rsidP="008D0660">
            <w:pPr>
              <w:pStyle w:val="TableText"/>
            </w:pPr>
            <w:r>
              <w:t>KK: Katie Keay</w:t>
            </w:r>
          </w:p>
        </w:tc>
        <w:tc>
          <w:tcPr>
            <w:tcW w:w="5103" w:type="dxa"/>
          </w:tcPr>
          <w:p w14:paraId="4AC1AC06" w14:textId="78A71BEB" w:rsidR="008D0660" w:rsidRPr="00A048AE" w:rsidRDefault="008D0660" w:rsidP="008D0660">
            <w:pPr>
              <w:pStyle w:val="TableText"/>
            </w:pPr>
            <w:r>
              <w:t>Marine Stewardship Council</w:t>
            </w:r>
          </w:p>
        </w:tc>
      </w:tr>
      <w:tr w:rsidR="0065265E" w14:paraId="2BE7A9F0" w14:textId="77777777" w:rsidTr="0008604A">
        <w:tc>
          <w:tcPr>
            <w:tcW w:w="2552" w:type="dxa"/>
          </w:tcPr>
          <w:p w14:paraId="311E472A" w14:textId="67664AD5" w:rsidR="008D0660" w:rsidRPr="00A048AE" w:rsidRDefault="002A17F7" w:rsidP="008D0660">
            <w:pPr>
              <w:pStyle w:val="TableText"/>
            </w:pPr>
            <w:r>
              <w:t xml:space="preserve">MJ: Matt Johnson </w:t>
            </w:r>
          </w:p>
        </w:tc>
        <w:tc>
          <w:tcPr>
            <w:tcW w:w="5103" w:type="dxa"/>
          </w:tcPr>
          <w:p w14:paraId="719CEAC6" w14:textId="7555154F" w:rsidR="008D0660" w:rsidRPr="00A048AE" w:rsidRDefault="00C805C5" w:rsidP="008D0660">
            <w:pPr>
              <w:pStyle w:val="TableText"/>
            </w:pPr>
            <w:r w:rsidRPr="00BE3E2B">
              <w:t>Department for Environment, Food and Rural Affairs</w:t>
            </w:r>
          </w:p>
        </w:tc>
      </w:tr>
      <w:tr w:rsidR="0065265E" w14:paraId="04E1FC53" w14:textId="77777777" w:rsidTr="0008604A">
        <w:tc>
          <w:tcPr>
            <w:tcW w:w="2552" w:type="dxa"/>
          </w:tcPr>
          <w:p w14:paraId="2AE2983B" w14:textId="31E31E33" w:rsidR="0089278C" w:rsidRPr="00A048AE" w:rsidRDefault="0089278C" w:rsidP="0089278C">
            <w:pPr>
              <w:pStyle w:val="TableText"/>
            </w:pPr>
            <w:r>
              <w:t>MS: Matt Spencer</w:t>
            </w:r>
          </w:p>
        </w:tc>
        <w:tc>
          <w:tcPr>
            <w:tcW w:w="5103" w:type="dxa"/>
          </w:tcPr>
          <w:p w14:paraId="51F6D1F8" w14:textId="5F78CCCD" w:rsidR="0089278C" w:rsidRPr="00A048AE" w:rsidRDefault="0089278C" w:rsidP="0089278C">
            <w:pPr>
              <w:pStyle w:val="TableText"/>
            </w:pPr>
            <w:r>
              <w:t>Marine Stewardship Council</w:t>
            </w:r>
          </w:p>
        </w:tc>
      </w:tr>
      <w:tr w:rsidR="0065265E" w14:paraId="4CE2B9AD" w14:textId="77777777" w:rsidTr="0008604A">
        <w:tc>
          <w:tcPr>
            <w:tcW w:w="2552" w:type="dxa"/>
          </w:tcPr>
          <w:p w14:paraId="4CEDE2AA" w14:textId="15B3B760" w:rsidR="0089278C" w:rsidRPr="00A048AE" w:rsidRDefault="0089278C" w:rsidP="0089278C">
            <w:pPr>
              <w:pStyle w:val="TableText"/>
            </w:pPr>
            <w:r>
              <w:t>MY: Martyn Youell</w:t>
            </w:r>
          </w:p>
        </w:tc>
        <w:tc>
          <w:tcPr>
            <w:tcW w:w="5103" w:type="dxa"/>
          </w:tcPr>
          <w:p w14:paraId="5D1D6CC5" w14:textId="45783F7E" w:rsidR="0089278C" w:rsidRPr="00A048AE" w:rsidRDefault="0089278C" w:rsidP="0089278C">
            <w:pPr>
              <w:pStyle w:val="TableText"/>
            </w:pPr>
            <w:r>
              <w:t xml:space="preserve">Waterdance </w:t>
            </w:r>
          </w:p>
        </w:tc>
      </w:tr>
      <w:tr w:rsidR="0065265E" w14:paraId="3C7F36E3" w14:textId="77777777" w:rsidTr="0008604A">
        <w:tc>
          <w:tcPr>
            <w:tcW w:w="2552" w:type="dxa"/>
          </w:tcPr>
          <w:p w14:paraId="6D7AA7D5" w14:textId="24FB9E7A" w:rsidR="0089278C" w:rsidRPr="00A048AE" w:rsidRDefault="004E78DF" w:rsidP="0089278C">
            <w:pPr>
              <w:pStyle w:val="TableText"/>
            </w:pPr>
            <w:proofErr w:type="spellStart"/>
            <w:r>
              <w:t>NdR</w:t>
            </w:r>
            <w:proofErr w:type="spellEnd"/>
            <w:r>
              <w:t xml:space="preserve">: </w:t>
            </w:r>
            <w:r w:rsidR="0089278C">
              <w:t>Nathan de Ro</w:t>
            </w:r>
            <w:r>
              <w:t xml:space="preserve">zarieux </w:t>
            </w:r>
          </w:p>
        </w:tc>
        <w:tc>
          <w:tcPr>
            <w:tcW w:w="5103" w:type="dxa"/>
          </w:tcPr>
          <w:p w14:paraId="158578FD" w14:textId="5DABA3BF" w:rsidR="0089278C" w:rsidRPr="00A048AE" w:rsidRDefault="00123CDE" w:rsidP="0089278C">
            <w:pPr>
              <w:pStyle w:val="TableText"/>
            </w:pPr>
            <w:proofErr w:type="spellStart"/>
            <w:r>
              <w:t>Falfish</w:t>
            </w:r>
            <w:proofErr w:type="spellEnd"/>
          </w:p>
        </w:tc>
      </w:tr>
      <w:tr w:rsidR="0065265E" w14:paraId="7F6880D1" w14:textId="77777777" w:rsidTr="0008604A">
        <w:tc>
          <w:tcPr>
            <w:tcW w:w="2552" w:type="dxa"/>
          </w:tcPr>
          <w:p w14:paraId="50C96056" w14:textId="1F818AEB" w:rsidR="0089278C" w:rsidRPr="00A048AE" w:rsidRDefault="004E78DF" w:rsidP="0089278C">
            <w:pPr>
              <w:pStyle w:val="TableText"/>
            </w:pPr>
            <w:r>
              <w:t xml:space="preserve">RC: Robyn Cloake </w:t>
            </w:r>
          </w:p>
        </w:tc>
        <w:tc>
          <w:tcPr>
            <w:tcW w:w="5103" w:type="dxa"/>
          </w:tcPr>
          <w:p w14:paraId="58819CC8" w14:textId="6E73887D" w:rsidR="0089278C" w:rsidRPr="00A048AE" w:rsidRDefault="004E78DF" w:rsidP="0089278C">
            <w:pPr>
              <w:pStyle w:val="TableText"/>
            </w:pPr>
            <w:proofErr w:type="spellStart"/>
            <w:r>
              <w:t>L</w:t>
            </w:r>
            <w:r w:rsidR="00123CDE" w:rsidRPr="00123CDE">
              <w:t>abeyrie</w:t>
            </w:r>
            <w:proofErr w:type="spellEnd"/>
          </w:p>
        </w:tc>
      </w:tr>
      <w:tr w:rsidR="0065265E" w14:paraId="7EE30C56" w14:textId="77777777" w:rsidTr="0008604A">
        <w:tc>
          <w:tcPr>
            <w:tcW w:w="2552" w:type="dxa"/>
          </w:tcPr>
          <w:p w14:paraId="02D283C0" w14:textId="3562EE8A" w:rsidR="0089278C" w:rsidRPr="00A048AE" w:rsidRDefault="004159DC" w:rsidP="0089278C">
            <w:pPr>
              <w:pStyle w:val="TableText"/>
            </w:pPr>
            <w:r>
              <w:t>RM: Rosslyn McIntyre</w:t>
            </w:r>
          </w:p>
        </w:tc>
        <w:tc>
          <w:tcPr>
            <w:tcW w:w="5103" w:type="dxa"/>
          </w:tcPr>
          <w:p w14:paraId="6115080F" w14:textId="3517AE71" w:rsidR="0089278C" w:rsidRPr="00A048AE" w:rsidRDefault="004159DC" w:rsidP="0089278C">
            <w:pPr>
              <w:pStyle w:val="TableText"/>
            </w:pPr>
            <w:r w:rsidRPr="003663D7">
              <w:t>Centre for Environment, Fisheries and Aquaculture Science</w:t>
            </w:r>
          </w:p>
        </w:tc>
      </w:tr>
      <w:tr w:rsidR="0065265E" w14:paraId="10FF60E4" w14:textId="77777777" w:rsidTr="0008604A">
        <w:tc>
          <w:tcPr>
            <w:tcW w:w="2552" w:type="dxa"/>
          </w:tcPr>
          <w:p w14:paraId="33E1A50D" w14:textId="06FAD816" w:rsidR="00123CDE" w:rsidRPr="00A048AE" w:rsidRDefault="004159DC" w:rsidP="0089278C">
            <w:pPr>
              <w:pStyle w:val="TableText"/>
            </w:pPr>
            <w:r>
              <w:t>SC: Sarah Clark</w:t>
            </w:r>
          </w:p>
        </w:tc>
        <w:tc>
          <w:tcPr>
            <w:tcW w:w="5103" w:type="dxa"/>
          </w:tcPr>
          <w:p w14:paraId="7285C5BA" w14:textId="3B5E971B" w:rsidR="00123CDE" w:rsidRPr="00A048AE" w:rsidRDefault="004159DC" w:rsidP="0089278C">
            <w:pPr>
              <w:pStyle w:val="TableText"/>
            </w:pPr>
            <w:r>
              <w:t xml:space="preserve">Devon and Severn </w:t>
            </w:r>
            <w:r w:rsidR="004A0E90">
              <w:t xml:space="preserve">Inshore </w:t>
            </w:r>
            <w:r w:rsidR="004A0E90" w:rsidRPr="004A0E90">
              <w:t>Fisheries and Conservation Authority</w:t>
            </w:r>
          </w:p>
        </w:tc>
      </w:tr>
      <w:tr w:rsidR="0065265E" w14:paraId="57B7FF2B" w14:textId="77777777" w:rsidTr="0008604A">
        <w:tc>
          <w:tcPr>
            <w:tcW w:w="2552" w:type="dxa"/>
          </w:tcPr>
          <w:p w14:paraId="7C5BD4B1" w14:textId="07076E40" w:rsidR="0089278C" w:rsidRPr="00A048AE" w:rsidRDefault="004A0E90" w:rsidP="0089278C">
            <w:pPr>
              <w:pStyle w:val="TableText"/>
            </w:pPr>
            <w:r>
              <w:t>TH: Tim Huntington</w:t>
            </w:r>
          </w:p>
        </w:tc>
        <w:tc>
          <w:tcPr>
            <w:tcW w:w="5103" w:type="dxa"/>
          </w:tcPr>
          <w:p w14:paraId="702BB47C" w14:textId="6E54E423" w:rsidR="0089278C" w:rsidRPr="00A048AE" w:rsidRDefault="004A0E90" w:rsidP="0089278C">
            <w:pPr>
              <w:pStyle w:val="TableText"/>
            </w:pPr>
            <w:r>
              <w:t xml:space="preserve">Poseidon </w:t>
            </w:r>
          </w:p>
        </w:tc>
      </w:tr>
      <w:tr w:rsidR="0065265E" w14:paraId="70A50A3D" w14:textId="77777777" w:rsidTr="0008604A">
        <w:tc>
          <w:tcPr>
            <w:tcW w:w="2552" w:type="dxa"/>
          </w:tcPr>
          <w:p w14:paraId="09D44D63" w14:textId="4D97A847" w:rsidR="00A90F12" w:rsidRPr="00A90F12" w:rsidRDefault="00A90F12" w:rsidP="0089278C">
            <w:pPr>
              <w:pStyle w:val="TableText"/>
              <w:rPr>
                <w:b/>
                <w:bCs/>
              </w:rPr>
            </w:pPr>
            <w:r w:rsidRPr="00A90F12">
              <w:rPr>
                <w:b/>
                <w:bCs/>
              </w:rPr>
              <w:t>Observing:</w:t>
            </w:r>
          </w:p>
        </w:tc>
        <w:tc>
          <w:tcPr>
            <w:tcW w:w="5103" w:type="dxa"/>
          </w:tcPr>
          <w:p w14:paraId="30A97973" w14:textId="77777777" w:rsidR="00A90F12" w:rsidRDefault="00A90F12" w:rsidP="0089278C">
            <w:pPr>
              <w:pStyle w:val="TableText"/>
            </w:pPr>
          </w:p>
        </w:tc>
      </w:tr>
      <w:tr w:rsidR="0065265E" w14:paraId="710BFC65" w14:textId="77777777" w:rsidTr="0008604A">
        <w:tc>
          <w:tcPr>
            <w:tcW w:w="2552" w:type="dxa"/>
          </w:tcPr>
          <w:p w14:paraId="38113F3C" w14:textId="3BD2AF81" w:rsidR="00A90F12" w:rsidRDefault="00A90F12" w:rsidP="00A90F12">
            <w:pPr>
              <w:pStyle w:val="TableText"/>
            </w:pPr>
            <w:r>
              <w:t xml:space="preserve">CB: Colin Bannister </w:t>
            </w:r>
          </w:p>
        </w:tc>
        <w:tc>
          <w:tcPr>
            <w:tcW w:w="5103" w:type="dxa"/>
          </w:tcPr>
          <w:p w14:paraId="08B3B3F9" w14:textId="1CA3B4F8" w:rsidR="00A90F12" w:rsidRDefault="00A90F12" w:rsidP="00A90F12">
            <w:pPr>
              <w:pStyle w:val="TableText"/>
            </w:pPr>
            <w:r>
              <w:t>Observer</w:t>
            </w:r>
          </w:p>
        </w:tc>
      </w:tr>
    </w:tbl>
    <w:p w14:paraId="233D8C26" w14:textId="58C25CA2" w:rsidR="00083AC4" w:rsidRDefault="00083AC4" w:rsidP="00F42911"/>
    <w:p w14:paraId="3368A485" w14:textId="0B19F0AB" w:rsidR="00330FCA" w:rsidRDefault="00330FCA" w:rsidP="00A628C4">
      <w:pPr>
        <w:pStyle w:val="TItleofAgendaItem"/>
      </w:pPr>
      <w:r>
        <w:t>Purpose of the meeting</w:t>
      </w:r>
    </w:p>
    <w:p w14:paraId="14B71A03" w14:textId="2A77B6A0" w:rsidR="002C0F2B" w:rsidRPr="00C21C10" w:rsidRDefault="002C0F2B" w:rsidP="002C0F2B">
      <w:r>
        <w:t xml:space="preserve">This call was an opportunity for the Steering Group to review progress made against each of the actions under Principle 1 and 3 in the </w:t>
      </w:r>
      <w:r w:rsidR="00FC056A">
        <w:t xml:space="preserve">Project UK </w:t>
      </w:r>
      <w:r>
        <w:t xml:space="preserve">crab and lobster Fishery Improvement Project (FIP) </w:t>
      </w:r>
      <w:r w:rsidR="005720F6">
        <w:t>a</w:t>
      </w:r>
      <w:r>
        <w:t xml:space="preserve">ction </w:t>
      </w:r>
      <w:r w:rsidR="005720F6">
        <w:t>p</w:t>
      </w:r>
      <w:r>
        <w:t>lan and get an update on the</w:t>
      </w:r>
      <w:r w:rsidR="000554FD">
        <w:t xml:space="preserve"> status of the Fishery Management Plan (FMP).</w:t>
      </w:r>
    </w:p>
    <w:p w14:paraId="2CFF49E3" w14:textId="77777777" w:rsidR="00330FCA" w:rsidRDefault="00330FCA" w:rsidP="00FC1241">
      <w:pPr>
        <w:pStyle w:val="AgendaItemNumber"/>
      </w:pPr>
    </w:p>
    <w:p w14:paraId="2B422F8E" w14:textId="7639723E" w:rsidR="00AF503E" w:rsidRPr="00FC1241" w:rsidRDefault="00A85A75" w:rsidP="00FC1241">
      <w:pPr>
        <w:pStyle w:val="AgendaItemNumber"/>
      </w:pPr>
      <w:r w:rsidRPr="00FC1241">
        <w:t xml:space="preserve">Agenda Item 1: </w:t>
      </w:r>
      <w:r w:rsidR="00133726">
        <w:t>MSC certification process</w:t>
      </w:r>
    </w:p>
    <w:p w14:paraId="789665A6" w14:textId="1F71C006" w:rsidR="00C86801" w:rsidRDefault="00174108" w:rsidP="00F42911">
      <w:r>
        <w:t xml:space="preserve">The FIP is </w:t>
      </w:r>
      <w:r w:rsidR="000829C8">
        <w:t xml:space="preserve">coming up to the end of Year 4 in its </w:t>
      </w:r>
      <w:r w:rsidR="006A0F92">
        <w:t>five-year</w:t>
      </w:r>
      <w:r w:rsidR="000829C8">
        <w:t xml:space="preserve"> timeline</w:t>
      </w:r>
      <w:r w:rsidR="00C66A05">
        <w:t xml:space="preserve">, </w:t>
      </w:r>
      <w:r w:rsidR="004024D0">
        <w:t>and</w:t>
      </w:r>
      <w:r w:rsidR="00C66A05">
        <w:t xml:space="preserve"> the </w:t>
      </w:r>
      <w:r w:rsidR="005720F6">
        <w:t xml:space="preserve">Steering Group </w:t>
      </w:r>
      <w:r w:rsidR="004024D0">
        <w:t>need</w:t>
      </w:r>
      <w:r w:rsidR="00D4000D">
        <w:t>s</w:t>
      </w:r>
      <w:r w:rsidR="004024D0">
        <w:t xml:space="preserve"> to </w:t>
      </w:r>
      <w:r w:rsidR="005720F6">
        <w:t xml:space="preserve">consider </w:t>
      </w:r>
      <w:r w:rsidR="00C86801">
        <w:t xml:space="preserve">whether </w:t>
      </w:r>
      <w:r w:rsidR="0064305A">
        <w:t>to form a</w:t>
      </w:r>
      <w:r w:rsidR="00C86801">
        <w:t xml:space="preserve"> client group </w:t>
      </w:r>
      <w:r w:rsidR="0064305A">
        <w:t>to</w:t>
      </w:r>
      <w:r w:rsidR="00C86801">
        <w:t xml:space="preserve"> </w:t>
      </w:r>
      <w:r w:rsidR="003109B5">
        <w:t xml:space="preserve">take responsibility for </w:t>
      </w:r>
      <w:proofErr w:type="gramStart"/>
      <w:r w:rsidR="003109B5">
        <w:t xml:space="preserve">entering </w:t>
      </w:r>
      <w:r w:rsidR="00360CEC">
        <w:t>into</w:t>
      </w:r>
      <w:proofErr w:type="gramEnd"/>
      <w:r w:rsidR="00360CEC">
        <w:t xml:space="preserve"> the</w:t>
      </w:r>
      <w:r w:rsidR="003109B5">
        <w:t xml:space="preserve"> MSC </w:t>
      </w:r>
      <w:r w:rsidR="00360CEC">
        <w:t>programme</w:t>
      </w:r>
      <w:r w:rsidR="003109B5">
        <w:t>.</w:t>
      </w:r>
      <w:r w:rsidR="003A7174">
        <w:t xml:space="preserve"> The MSC </w:t>
      </w:r>
      <w:r w:rsidR="003F6BB7">
        <w:t xml:space="preserve">can provide </w:t>
      </w:r>
      <w:r w:rsidR="00330D97">
        <w:t xml:space="preserve">information about the process but cannot </w:t>
      </w:r>
      <w:r w:rsidR="00527B49">
        <w:t xml:space="preserve">provide advice </w:t>
      </w:r>
      <w:r w:rsidR="00F329E1">
        <w:t xml:space="preserve">on how to </w:t>
      </w:r>
      <w:r w:rsidR="006B3923">
        <w:t>meet the certification requirements.</w:t>
      </w:r>
      <w:r w:rsidR="00C86801">
        <w:t xml:space="preserve"> </w:t>
      </w:r>
      <w:r w:rsidR="00C15914">
        <w:t>JP</w:t>
      </w:r>
      <w:r w:rsidR="0033210A">
        <w:t xml:space="preserve"> </w:t>
      </w:r>
      <w:r w:rsidR="00761BE8">
        <w:t>present</w:t>
      </w:r>
      <w:r w:rsidR="00C15914">
        <w:t>ed</w:t>
      </w:r>
      <w:r w:rsidR="00761BE8">
        <w:t xml:space="preserve"> the MSC certification process to the Steering Group to</w:t>
      </w:r>
      <w:r w:rsidR="00BB3002">
        <w:t xml:space="preserve"> help inform </w:t>
      </w:r>
      <w:r w:rsidR="006B3923">
        <w:t>their discussion</w:t>
      </w:r>
      <w:r w:rsidR="00C67513">
        <w:t>.</w:t>
      </w:r>
      <w:r w:rsidR="00BB3002">
        <w:t xml:space="preserve"> </w:t>
      </w:r>
    </w:p>
    <w:p w14:paraId="5FD7164A" w14:textId="77777777" w:rsidR="002A71EB" w:rsidRPr="006A0F92" w:rsidRDefault="002A71EB" w:rsidP="00F42911">
      <w:pPr>
        <w:rPr>
          <w:rStyle w:val="SubtleEmphasis"/>
        </w:rPr>
      </w:pPr>
      <w:r w:rsidRPr="006A0F92">
        <w:rPr>
          <w:rStyle w:val="SubtleEmphasis"/>
        </w:rPr>
        <w:t xml:space="preserve">Presentation from MSC </w:t>
      </w:r>
    </w:p>
    <w:p w14:paraId="4B2585E0" w14:textId="515FB607" w:rsidR="00677228" w:rsidRDefault="00CC1BF8" w:rsidP="00F42911">
      <w:r>
        <w:t xml:space="preserve">The client group is responsible for </w:t>
      </w:r>
      <w:r w:rsidR="006B79CB">
        <w:t xml:space="preserve">providing all relevant research and reports </w:t>
      </w:r>
      <w:r w:rsidR="005C53EB">
        <w:t>to the Conformity Assessment Body (CAB) assessment team</w:t>
      </w:r>
      <w:r w:rsidR="00871EDD">
        <w:t xml:space="preserve">, including </w:t>
      </w:r>
      <w:r w:rsidR="00501678">
        <w:t>a mandatory client document checklist</w:t>
      </w:r>
      <w:r w:rsidR="003D3252">
        <w:t>, which is a guide to the documentation needed to provide an assessor.</w:t>
      </w:r>
      <w:r w:rsidR="001F3BAD">
        <w:t xml:space="preserve"> </w:t>
      </w:r>
      <w:r w:rsidR="00852C65">
        <w:t xml:space="preserve">The CAB </w:t>
      </w:r>
      <w:r w:rsidR="00873C4A">
        <w:t>uses</w:t>
      </w:r>
      <w:r w:rsidR="004D0130">
        <w:t xml:space="preserve"> this information to </w:t>
      </w:r>
      <w:r w:rsidR="00852C65">
        <w:lastRenderedPageBreak/>
        <w:t xml:space="preserve">undertake an </w:t>
      </w:r>
      <w:r w:rsidR="004D0130">
        <w:t>initial</w:t>
      </w:r>
      <w:r w:rsidR="00852C65">
        <w:t xml:space="preserve"> assessment of the fishery against the MSC </w:t>
      </w:r>
      <w:r w:rsidR="00BB6A5D">
        <w:t>S</w:t>
      </w:r>
      <w:r w:rsidR="00852C65">
        <w:t>tandard</w:t>
      </w:r>
      <w:r w:rsidR="00C039C6">
        <w:t xml:space="preserve"> and </w:t>
      </w:r>
      <w:r w:rsidR="00677228">
        <w:t>produce the announcement comment draft report (ACDR).</w:t>
      </w:r>
      <w:r w:rsidR="00C1094B" w:rsidRPr="00C1094B">
        <w:t xml:space="preserve"> </w:t>
      </w:r>
      <w:r w:rsidR="00C1094B">
        <w:t>The ACDR is a report that gives the client an indication of how the fishery is doing, scoring the fishery against each performance indicator in the MSC Standard, and guides next steps.</w:t>
      </w:r>
      <w:r w:rsidR="00C1094B" w:rsidRPr="00C1094B">
        <w:t xml:space="preserve"> </w:t>
      </w:r>
      <w:r w:rsidR="00C1094B">
        <w:t xml:space="preserve">This report is confidential and, based on the results, the client group can decide whether </w:t>
      </w:r>
      <w:r w:rsidR="00301DEC">
        <w:t xml:space="preserve">they wish </w:t>
      </w:r>
      <w:r w:rsidR="00C1094B">
        <w:t>to proceed further with the full assessment</w:t>
      </w:r>
      <w:r w:rsidR="00301DEC">
        <w:t>.</w:t>
      </w:r>
    </w:p>
    <w:p w14:paraId="65597C49" w14:textId="77777777" w:rsidR="00100858" w:rsidRDefault="00100858" w:rsidP="00100858">
      <w:r>
        <w:t>If the client group wishes to continue the assessment process, the ACDR is published by the CAB and becomes publicly available for public stakeholder consultation. At this stage it is important to identify key stakeholders, who may wish to comment or submit evidence to the assessment team. There is a 60-day consultation period between the ACDR becoming publicly available and the site visit from the CAB, which is where additional information about the fishery is gathered by the CAB.</w:t>
      </w:r>
    </w:p>
    <w:p w14:paraId="3501DF47" w14:textId="77777777" w:rsidR="00100858" w:rsidRDefault="00100858" w:rsidP="00100858">
      <w:r>
        <w:t xml:space="preserve">After the site visit the CAB produces the client and peer review draft report, an internal document which allows 60 days for the client group to flag any additional information that might support their application and to draft an action plan for any conditions identified by the CAB. At this stage, the client and peer review draft report </w:t>
      </w:r>
      <w:proofErr w:type="gramStart"/>
      <w:r>
        <w:t>is</w:t>
      </w:r>
      <w:proofErr w:type="gramEnd"/>
      <w:r>
        <w:t xml:space="preserve"> peer reviewed by a panel of three independent experts to check the information gathered to date, the process of the CAB and that the scores for each performance indicator is accurate. </w:t>
      </w:r>
    </w:p>
    <w:p w14:paraId="23DF69B5" w14:textId="77777777" w:rsidR="00100858" w:rsidRDefault="00100858" w:rsidP="00100858">
      <w:r>
        <w:t xml:space="preserve">Feedback received through the client and peer review process in incorporated into the assessment and the CAB publishes the public comment draft report (PCDR). The PCDR is open for further stakeholder consultation for 30 days and for peer review follow-up. At this stage, the assessment may also be reviewed by the MSC Technical Oversight team, to independently review the certification process and raise any irregularities or concerns with Assurance Services International (ASI), an independent organisation that acts as a ‘watchdog’ to ensure due process and relevant rigour has been implemented to the assessment process. </w:t>
      </w:r>
    </w:p>
    <w:p w14:paraId="0D2A3D5A" w14:textId="77777777" w:rsidR="00A46A27" w:rsidRDefault="00A46A27" w:rsidP="00A46A27">
      <w:r>
        <w:t xml:space="preserve">After addressing the consultation and peer review feedback, the CAB delivers the Final Draft Report (FDR). This report is open to a notice of objection for 15 working days upon which the report is deemed final and is published as the Public Certification Report (PCR) if the fishery meets the MSC Standard. </w:t>
      </w:r>
    </w:p>
    <w:p w14:paraId="288070ED" w14:textId="77777777" w:rsidR="00A46A27" w:rsidRDefault="00A46A27" w:rsidP="00A46A27">
      <w:r>
        <w:t xml:space="preserve">In the UK, client groups have been formed through Producer Organisations, local governments, or specific fishery focussed associations. Many successful client groups have a member or consultant </w:t>
      </w:r>
      <w:proofErr w:type="gramStart"/>
      <w:r>
        <w:t>who’s</w:t>
      </w:r>
      <w:proofErr w:type="gramEnd"/>
      <w:r>
        <w:t xml:space="preserve"> is specifically responsible for the MSC certification process, including documentation, audits, CAB liaison and costs.</w:t>
      </w:r>
    </w:p>
    <w:p w14:paraId="6278F5A8" w14:textId="77777777" w:rsidR="00A46A27" w:rsidRDefault="00A46A27" w:rsidP="00A46A27">
      <w:r>
        <w:t>When deciding upon a specific CAB to support the client group through the certification process, key things to consider are:</w:t>
      </w:r>
    </w:p>
    <w:p w14:paraId="55752BC3" w14:textId="77777777" w:rsidR="00A46A27" w:rsidRDefault="00A46A27" w:rsidP="00A46A27">
      <w:pPr>
        <w:pStyle w:val="ListParagraph"/>
        <w:numPr>
          <w:ilvl w:val="0"/>
          <w:numId w:val="3"/>
        </w:numPr>
      </w:pPr>
      <w:r>
        <w:t xml:space="preserve">what expertise the CAB has </w:t>
      </w:r>
      <w:proofErr w:type="gramStart"/>
      <w:r>
        <w:t>e.g.</w:t>
      </w:r>
      <w:proofErr w:type="gramEnd"/>
      <w:r>
        <w:t xml:space="preserve"> experience of working in the South West or particular expertise on crab and lobster fisheries.</w:t>
      </w:r>
    </w:p>
    <w:p w14:paraId="0B1CA9BD" w14:textId="77777777" w:rsidR="00A46A27" w:rsidRDefault="00A46A27" w:rsidP="00A46A27">
      <w:pPr>
        <w:pStyle w:val="ListParagraph"/>
        <w:numPr>
          <w:ilvl w:val="0"/>
          <w:numId w:val="3"/>
        </w:numPr>
      </w:pPr>
      <w:r>
        <w:t>the timeline for the CAB and their capacity.</w:t>
      </w:r>
    </w:p>
    <w:p w14:paraId="643EA9A5" w14:textId="0DC03F0E" w:rsidR="007343A6" w:rsidRPr="007343A6" w:rsidRDefault="00A46A27" w:rsidP="007343A6">
      <w:pPr>
        <w:pStyle w:val="ListParagraph"/>
        <w:numPr>
          <w:ilvl w:val="0"/>
          <w:numId w:val="3"/>
        </w:numPr>
      </w:pPr>
      <w:r>
        <w:t>Cost</w:t>
      </w:r>
      <w:r w:rsidR="005D2E9F">
        <w:t>,</w:t>
      </w:r>
      <w:r w:rsidR="007343A6">
        <w:t xml:space="preserve"> w</w:t>
      </w:r>
      <w:r w:rsidR="007343A6" w:rsidRPr="007343A6">
        <w:t xml:space="preserve">hich can range from £10,000 - £100,000 and is dependent on: complexity and size of fishery; availability of information, level of stakeholder involvement. </w:t>
      </w:r>
    </w:p>
    <w:p w14:paraId="56B21FD7" w14:textId="1F280F5D" w:rsidR="00392A91" w:rsidRDefault="00A46A27" w:rsidP="006A0F92">
      <w:pPr>
        <w:pStyle w:val="ListParagraph"/>
        <w:ind w:left="1440"/>
      </w:pPr>
      <w:r>
        <w:t xml:space="preserve"> </w:t>
      </w:r>
    </w:p>
    <w:p w14:paraId="013E2015" w14:textId="5EE23162" w:rsidR="008F06E9" w:rsidRDefault="00AE3287" w:rsidP="00D80DF1">
      <w:r>
        <w:t>Prior to entering MSC assessment</w:t>
      </w:r>
      <w:r w:rsidR="00BC17C3">
        <w:t xml:space="preserve">, the client group will need to decide on the </w:t>
      </w:r>
      <w:r w:rsidR="00392A91">
        <w:t>Unit of Assessment (</w:t>
      </w:r>
      <w:proofErr w:type="spellStart"/>
      <w:r w:rsidR="00392A91">
        <w:t>UoA</w:t>
      </w:r>
      <w:proofErr w:type="spellEnd"/>
      <w:r w:rsidR="00392A91">
        <w:t>)</w:t>
      </w:r>
      <w:r w:rsidR="00A5070E">
        <w:t xml:space="preserve">. </w:t>
      </w:r>
      <w:r w:rsidR="00CA4EAA">
        <w:t>T</w:t>
      </w:r>
      <w:r w:rsidR="00CA4EAA" w:rsidRPr="00CA4EAA">
        <w:t xml:space="preserve">he </w:t>
      </w:r>
      <w:proofErr w:type="spellStart"/>
      <w:r w:rsidR="00CA4EAA">
        <w:t>UoA</w:t>
      </w:r>
      <w:proofErr w:type="spellEnd"/>
      <w:r w:rsidR="00CA4EAA" w:rsidRPr="00CA4EAA">
        <w:t xml:space="preserve"> defines what is being assessed during the certification process and includes: – </w:t>
      </w:r>
      <w:r w:rsidR="00CA4EAA">
        <w:t>t</w:t>
      </w:r>
      <w:r w:rsidR="00CA4EAA" w:rsidRPr="00CA4EAA">
        <w:t xml:space="preserve">he target stock(s); – </w:t>
      </w:r>
      <w:r w:rsidR="00CA4EAA">
        <w:t>t</w:t>
      </w:r>
      <w:r w:rsidR="00CA4EAA" w:rsidRPr="00CA4EAA">
        <w:t xml:space="preserve">he fishing method or gear; – </w:t>
      </w:r>
      <w:r w:rsidR="00CA4EAA">
        <w:t>t</w:t>
      </w:r>
      <w:r w:rsidR="00CA4EAA" w:rsidRPr="00CA4EAA">
        <w:t xml:space="preserve">he fleets, vessels, individual fishing operators and </w:t>
      </w:r>
      <w:r w:rsidR="00CA4EAA" w:rsidRPr="00CA4EAA">
        <w:lastRenderedPageBreak/>
        <w:t xml:space="preserve">other eligible fishers pursuing that stock. </w:t>
      </w:r>
      <w:r w:rsidR="003121C2">
        <w:t>TH</w:t>
      </w:r>
      <w:r w:rsidR="00CE1350">
        <w:t xml:space="preserve"> </w:t>
      </w:r>
      <w:r w:rsidR="00A5070E" w:rsidRPr="00A5070E">
        <w:t xml:space="preserve">suggested there </w:t>
      </w:r>
      <w:r w:rsidR="00CE1350">
        <w:t>c</w:t>
      </w:r>
      <w:r w:rsidR="00A5070E" w:rsidRPr="00A5070E">
        <w:t xml:space="preserve">ould be </w:t>
      </w:r>
      <w:r w:rsidR="00A5070E">
        <w:t xml:space="preserve">three </w:t>
      </w:r>
      <w:proofErr w:type="spellStart"/>
      <w:r w:rsidR="00A5070E">
        <w:t>UoAs</w:t>
      </w:r>
      <w:proofErr w:type="spellEnd"/>
      <w:r w:rsidR="00A5070E">
        <w:t xml:space="preserve">: </w:t>
      </w:r>
      <w:r w:rsidR="00A5070E" w:rsidRPr="00A5070E">
        <w:t>Western Channel (</w:t>
      </w:r>
      <w:proofErr w:type="spellStart"/>
      <w:r w:rsidR="00A5070E" w:rsidRPr="00A5070E">
        <w:t>VIIe</w:t>
      </w:r>
      <w:proofErr w:type="spellEnd"/>
      <w:r w:rsidR="00A5070E" w:rsidRPr="00A5070E">
        <w:t xml:space="preserve">) </w:t>
      </w:r>
      <w:r w:rsidR="00A5070E">
        <w:t>crab and</w:t>
      </w:r>
      <w:r w:rsidR="00A5070E" w:rsidRPr="00A5070E">
        <w:t xml:space="preserve"> </w:t>
      </w:r>
      <w:r w:rsidR="00A5070E">
        <w:t>lobster</w:t>
      </w:r>
      <w:r w:rsidR="00A5070E" w:rsidRPr="00A5070E">
        <w:t>, Bristol Channel (</w:t>
      </w:r>
      <w:proofErr w:type="spellStart"/>
      <w:r w:rsidR="00A5070E" w:rsidRPr="00A5070E">
        <w:t>VIIf</w:t>
      </w:r>
      <w:proofErr w:type="spellEnd"/>
      <w:r w:rsidR="00A5070E" w:rsidRPr="00A5070E">
        <w:t>)</w:t>
      </w:r>
      <w:r w:rsidR="008F06E9">
        <w:t xml:space="preserve"> crab and lobster</w:t>
      </w:r>
      <w:r w:rsidR="00A5070E" w:rsidRPr="00A5070E">
        <w:t>, and part of Celtic Sea North</w:t>
      </w:r>
      <w:r w:rsidR="008F06E9">
        <w:t xml:space="preserve"> lobster only.</w:t>
      </w:r>
    </w:p>
    <w:p w14:paraId="0CDD1F29" w14:textId="77777777" w:rsidR="003D0761" w:rsidRDefault="003D0761" w:rsidP="00DB183C">
      <w:pPr>
        <w:rPr>
          <w:rStyle w:val="SubtleEmphasis"/>
        </w:rPr>
      </w:pPr>
    </w:p>
    <w:p w14:paraId="3528515C" w14:textId="0A843475" w:rsidR="002A71EB" w:rsidRPr="008C4535" w:rsidRDefault="002A71EB" w:rsidP="00DB183C">
      <w:pPr>
        <w:rPr>
          <w:rStyle w:val="SubtleEmphasis"/>
        </w:rPr>
      </w:pPr>
      <w:r w:rsidRPr="008C4535">
        <w:rPr>
          <w:rStyle w:val="SubtleEmphasis"/>
        </w:rPr>
        <w:t>Group discussion</w:t>
      </w:r>
    </w:p>
    <w:p w14:paraId="7BF13A8C" w14:textId="43AD321F" w:rsidR="00DB183C" w:rsidRDefault="00234B3D" w:rsidP="00DB183C">
      <w:r>
        <w:t>CP</w:t>
      </w:r>
      <w:r w:rsidR="004A11EA">
        <w:t xml:space="preserve"> </w:t>
      </w:r>
      <w:r w:rsidR="00350834">
        <w:t>commented that understanding this process early on is important</w:t>
      </w:r>
      <w:r w:rsidR="00A9490D">
        <w:t>. She</w:t>
      </w:r>
      <w:r w:rsidR="008E64EE">
        <w:t xml:space="preserve"> added</w:t>
      </w:r>
      <w:r w:rsidR="004A11EA">
        <w:t xml:space="preserve"> </w:t>
      </w:r>
      <w:r w:rsidR="008E64EE">
        <w:t xml:space="preserve">that </w:t>
      </w:r>
      <w:r w:rsidR="00251C32">
        <w:t xml:space="preserve">Macduff </w:t>
      </w:r>
      <w:r w:rsidR="0009140D">
        <w:t>ha</w:t>
      </w:r>
      <w:r w:rsidR="00C91389">
        <w:t>s</w:t>
      </w:r>
      <w:r w:rsidR="0009140D">
        <w:t xml:space="preserve"> received </w:t>
      </w:r>
      <w:r w:rsidR="003037A2">
        <w:t xml:space="preserve">requests recently </w:t>
      </w:r>
      <w:r w:rsidR="00AF5362">
        <w:t>for</w:t>
      </w:r>
      <w:r w:rsidR="0009140D">
        <w:t xml:space="preserve"> MSC</w:t>
      </w:r>
      <w:r w:rsidR="00A90F12">
        <w:t xml:space="preserve"> labelled</w:t>
      </w:r>
      <w:r w:rsidR="0009140D">
        <w:t xml:space="preserve"> crab which highlights the market desire to have certified product in the UK</w:t>
      </w:r>
      <w:r w:rsidR="003414C2">
        <w:t xml:space="preserve">. CP reminded the group that this FIP </w:t>
      </w:r>
      <w:r w:rsidR="009C1F56">
        <w:t xml:space="preserve">was included in </w:t>
      </w:r>
      <w:r w:rsidR="003414C2">
        <w:t xml:space="preserve">Project UK </w:t>
      </w:r>
      <w:r w:rsidR="009C1F56">
        <w:t xml:space="preserve">because of the requests from retailers for MSC </w:t>
      </w:r>
      <w:r w:rsidR="003414C2">
        <w:t xml:space="preserve">certified </w:t>
      </w:r>
      <w:r w:rsidR="009C1F56">
        <w:t xml:space="preserve">crab and lobster. </w:t>
      </w:r>
      <w:r w:rsidR="00DB183C">
        <w:t xml:space="preserve">JP informed the group that </w:t>
      </w:r>
      <w:r w:rsidR="00471ECE">
        <w:t xml:space="preserve">the MSC commercial team </w:t>
      </w:r>
      <w:proofErr w:type="gramStart"/>
      <w:r w:rsidR="006E5192">
        <w:t xml:space="preserve">is </w:t>
      </w:r>
      <w:r w:rsidR="00794D51">
        <w:t>able to</w:t>
      </w:r>
      <w:proofErr w:type="gramEnd"/>
      <w:r w:rsidR="00794D51">
        <w:t xml:space="preserve"> provide </w:t>
      </w:r>
      <w:r w:rsidR="00DB183C">
        <w:t xml:space="preserve">support </w:t>
      </w:r>
      <w:r w:rsidR="00133111">
        <w:t xml:space="preserve">to </w:t>
      </w:r>
      <w:r w:rsidR="00794D51">
        <w:t>fisheries in</w:t>
      </w:r>
      <w:r w:rsidR="00DB183C">
        <w:t xml:space="preserve"> matching up the</w:t>
      </w:r>
      <w:r w:rsidR="00794D51">
        <w:t>ir</w:t>
      </w:r>
      <w:r w:rsidR="00DB183C">
        <w:t xml:space="preserve"> product with </w:t>
      </w:r>
      <w:r w:rsidR="00794D51">
        <w:t xml:space="preserve">MSC </w:t>
      </w:r>
      <w:r w:rsidR="00DB183C">
        <w:t xml:space="preserve">markets, both domestically and internationally. </w:t>
      </w:r>
      <w:proofErr w:type="spellStart"/>
      <w:r w:rsidR="00DB183C">
        <w:t>GCl</w:t>
      </w:r>
      <w:proofErr w:type="spellEnd"/>
      <w:r w:rsidR="00DB183C">
        <w:t xml:space="preserve"> </w:t>
      </w:r>
      <w:r w:rsidR="00523394">
        <w:t>reiterated</w:t>
      </w:r>
      <w:r w:rsidR="00DB183C">
        <w:t xml:space="preserve"> the growing demand for certified UK crab both domestically and abroad in countries such as Denmark and France. </w:t>
      </w:r>
    </w:p>
    <w:p w14:paraId="3CF16381" w14:textId="666899AA" w:rsidR="00452E58" w:rsidRDefault="00B9544F" w:rsidP="00F42911">
      <w:r>
        <w:t xml:space="preserve">CP </w:t>
      </w:r>
      <w:r w:rsidR="00DE55C2">
        <w:t>raised</w:t>
      </w:r>
      <w:r>
        <w:t xml:space="preserve"> the topic of funding for </w:t>
      </w:r>
      <w:r w:rsidR="00DE55C2">
        <w:t>the certification</w:t>
      </w:r>
      <w:r>
        <w:t xml:space="preserve"> process and whether there was an opportunity to </w:t>
      </w:r>
      <w:r w:rsidR="00577684">
        <w:t>ask</w:t>
      </w:r>
      <w:r>
        <w:t xml:space="preserve"> retailers </w:t>
      </w:r>
      <w:r w:rsidR="0098120F">
        <w:t>whether they could provide additional funding to support the transition of the FIP to certification</w:t>
      </w:r>
      <w:r w:rsidR="000831DB">
        <w:t xml:space="preserve">. </w:t>
      </w:r>
      <w:r w:rsidR="00041580">
        <w:t>CP</w:t>
      </w:r>
      <w:r w:rsidR="000831DB">
        <w:t xml:space="preserve"> suggested that </w:t>
      </w:r>
      <w:r w:rsidR="0098120F">
        <w:t>members of Project UK who are not funders but might wish to financially support the certification process</w:t>
      </w:r>
      <w:r w:rsidR="00627AC2">
        <w:t xml:space="preserve"> could be approached</w:t>
      </w:r>
      <w:r w:rsidR="0098120F">
        <w:t xml:space="preserve">. </w:t>
      </w:r>
      <w:r w:rsidR="00B141DA">
        <w:t>CP said it was important to have this discussion now rather than wait until the end of the FIP</w:t>
      </w:r>
      <w:r w:rsidR="00C53992">
        <w:t>.</w:t>
      </w:r>
      <w:r w:rsidR="00B141DA">
        <w:t xml:space="preserve"> </w:t>
      </w:r>
      <w:r w:rsidR="00C53992">
        <w:t>C</w:t>
      </w:r>
      <w:r w:rsidR="00B141DA">
        <w:t xml:space="preserve">urrently </w:t>
      </w:r>
      <w:r w:rsidR="00C53992">
        <w:t>the shellfish industry is under a lot of financial pressure from</w:t>
      </w:r>
      <w:r w:rsidR="009E0914">
        <w:t xml:space="preserve"> the impacts of</w:t>
      </w:r>
      <w:r w:rsidR="00C53992">
        <w:t xml:space="preserve"> Brexit and </w:t>
      </w:r>
      <w:r w:rsidR="00D80DF1">
        <w:t>C</w:t>
      </w:r>
      <w:r w:rsidR="00C53992">
        <w:t>ovid,</w:t>
      </w:r>
      <w:r w:rsidR="00B141DA">
        <w:t xml:space="preserve"> but in 12 months things may be more positive for the sector</w:t>
      </w:r>
      <w:r w:rsidR="005E0CCF">
        <w:t>.</w:t>
      </w:r>
      <w:r w:rsidR="00B16DBA">
        <w:t xml:space="preserve"> CP mentioned the Scottish </w:t>
      </w:r>
      <w:r w:rsidR="008474BE">
        <w:t xml:space="preserve">Fisheries Sustainable Accreditation Group (SFSAG) model, of </w:t>
      </w:r>
      <w:r w:rsidR="001C5250">
        <w:t>an umbrella organisation representing different groups helping pool together resources for certification</w:t>
      </w:r>
      <w:r w:rsidR="00CC7FB2">
        <w:t>.</w:t>
      </w:r>
      <w:r w:rsidR="002C7370">
        <w:t xml:space="preserve"> </w:t>
      </w:r>
      <w:proofErr w:type="spellStart"/>
      <w:r w:rsidR="002C7370">
        <w:t>NdR</w:t>
      </w:r>
      <w:proofErr w:type="spellEnd"/>
      <w:r w:rsidR="002C7370">
        <w:t xml:space="preserve"> </w:t>
      </w:r>
      <w:r w:rsidR="00A5414F">
        <w:t>suggested a similar model</w:t>
      </w:r>
      <w:r w:rsidR="002C7370">
        <w:t xml:space="preserve"> is needed for English waters and features </w:t>
      </w:r>
      <w:r w:rsidR="008F2A2C">
        <w:t>in</w:t>
      </w:r>
      <w:r w:rsidR="002C7370">
        <w:t xml:space="preserve"> the </w:t>
      </w:r>
      <w:proofErr w:type="spellStart"/>
      <w:r w:rsidR="002C7370">
        <w:t>Seafish</w:t>
      </w:r>
      <w:proofErr w:type="spellEnd"/>
      <w:r w:rsidR="002C7370">
        <w:t xml:space="preserve"> 2040 strategy. </w:t>
      </w:r>
      <w:proofErr w:type="spellStart"/>
      <w:r w:rsidR="002C7370">
        <w:t>NdR</w:t>
      </w:r>
      <w:proofErr w:type="spellEnd"/>
      <w:r w:rsidR="002C7370">
        <w:t xml:space="preserve"> saw it as key to driving forward sustainability initiatives without creating a plethora of smaller groups with their own agendas and </w:t>
      </w:r>
      <w:proofErr w:type="gramStart"/>
      <w:r w:rsidR="002C7370">
        <w:t>meetings</w:t>
      </w:r>
      <w:r w:rsidR="0050604C">
        <w:t>,</w:t>
      </w:r>
      <w:r w:rsidR="002C7370">
        <w:t xml:space="preserve"> and</w:t>
      </w:r>
      <w:proofErr w:type="gramEnd"/>
      <w:r w:rsidR="002C7370">
        <w:t xml:space="preserve"> could share the costs and benefits of achieving certification across the South West. </w:t>
      </w:r>
      <w:r w:rsidR="00782238">
        <w:t xml:space="preserve">MY highlighted the importance of the continuity of a FIP and having something meaningful at the end of the FIP’s timeline. MY agreed with </w:t>
      </w:r>
      <w:proofErr w:type="spellStart"/>
      <w:r w:rsidR="00782238">
        <w:t>NdR</w:t>
      </w:r>
      <w:proofErr w:type="spellEnd"/>
      <w:r w:rsidR="00782238">
        <w:t xml:space="preserve"> </w:t>
      </w:r>
      <w:r w:rsidR="003D4507">
        <w:t>on</w:t>
      </w:r>
      <w:r w:rsidR="00782238">
        <w:t xml:space="preserve"> the need to equally distribute the costs and benefits </w:t>
      </w:r>
      <w:r w:rsidR="003D4507">
        <w:t xml:space="preserve">on MSC certification </w:t>
      </w:r>
      <w:r w:rsidR="00782238">
        <w:t xml:space="preserve">to help promote South West </w:t>
      </w:r>
      <w:r w:rsidR="002D5E41">
        <w:t>fisheries and</w:t>
      </w:r>
      <w:r w:rsidR="00782238">
        <w:t xml:space="preserve"> </w:t>
      </w:r>
      <w:r w:rsidR="003D4507">
        <w:t>agreed that</w:t>
      </w:r>
      <w:r w:rsidR="00782238">
        <w:t xml:space="preserve"> the SFSAG model would be something he would like to see replicated for the South West.</w:t>
      </w:r>
    </w:p>
    <w:p w14:paraId="11BE7320" w14:textId="3C779EDC" w:rsidR="00DA5A85" w:rsidRDefault="0026297F" w:rsidP="00F42911">
      <w:r>
        <w:t>KK read out a supporting letter from Helena</w:t>
      </w:r>
      <w:r w:rsidR="00E31E47">
        <w:t xml:space="preserve"> Delgado-Nordmann</w:t>
      </w:r>
      <w:r w:rsidR="002E57D2">
        <w:t xml:space="preserve">, </w:t>
      </w:r>
      <w:r w:rsidR="00CC6A58">
        <w:t>R</w:t>
      </w:r>
      <w:r w:rsidR="002E57D2">
        <w:t xml:space="preserve">esponsible </w:t>
      </w:r>
      <w:r w:rsidR="00CC6A58">
        <w:t>S</w:t>
      </w:r>
      <w:r w:rsidR="002E57D2">
        <w:t xml:space="preserve">ourcing </w:t>
      </w:r>
      <w:r w:rsidR="00CC6A58">
        <w:t>M</w:t>
      </w:r>
      <w:r w:rsidR="002E57D2">
        <w:t>anager</w:t>
      </w:r>
      <w:r>
        <w:t xml:space="preserve"> </w:t>
      </w:r>
      <w:r w:rsidR="0067158B">
        <w:t>at</w:t>
      </w:r>
      <w:r>
        <w:t xml:space="preserve"> Tesco</w:t>
      </w:r>
      <w:r w:rsidR="00AC5CF9">
        <w:t>,</w:t>
      </w:r>
      <w:r>
        <w:t xml:space="preserve"> which highlighted </w:t>
      </w:r>
      <w:r w:rsidR="003F2750">
        <w:t>Tesco</w:t>
      </w:r>
      <w:r w:rsidR="00B20E9C">
        <w:t xml:space="preserve">’s </w:t>
      </w:r>
      <w:r w:rsidR="001475FC" w:rsidRPr="001475FC">
        <w:t>public commitment to achieve 100% sustainable seafood by 2030</w:t>
      </w:r>
      <w:r w:rsidR="001475FC">
        <w:t xml:space="preserve">, its </w:t>
      </w:r>
      <w:r w:rsidR="00B20E9C">
        <w:t>support of the Project UK FIPs</w:t>
      </w:r>
      <w:r w:rsidR="00C64D53">
        <w:t>,</w:t>
      </w:r>
      <w:r w:rsidR="00397666">
        <w:t xml:space="preserve"> and </w:t>
      </w:r>
      <w:r w:rsidR="00F32B1C">
        <w:t>a</w:t>
      </w:r>
      <w:r w:rsidR="00397666">
        <w:t xml:space="preserve"> keen interest to</w:t>
      </w:r>
      <w:r w:rsidR="0034467F">
        <w:t xml:space="preserve"> see the</w:t>
      </w:r>
      <w:r w:rsidR="00F32B1C">
        <w:t>se fisheries</w:t>
      </w:r>
      <w:r w:rsidR="0034467F">
        <w:t xml:space="preserve"> move into </w:t>
      </w:r>
      <w:r w:rsidR="00AB3FFB">
        <w:t xml:space="preserve">MSC </w:t>
      </w:r>
      <w:r w:rsidR="0034467F">
        <w:t xml:space="preserve">full assessment. </w:t>
      </w:r>
      <w:r w:rsidR="002B63D5">
        <w:t>She noted that</w:t>
      </w:r>
      <w:r w:rsidR="00210E81" w:rsidRPr="00210E81">
        <w:t xml:space="preserve"> </w:t>
      </w:r>
      <w:r w:rsidR="00210E81">
        <w:t>p</w:t>
      </w:r>
      <w:r w:rsidR="00210E81" w:rsidRPr="00210E81">
        <w:t>ressure and awareness from NGOs and customers ha</w:t>
      </w:r>
      <w:r w:rsidR="00AB3FFB">
        <w:t xml:space="preserve">s </w:t>
      </w:r>
      <w:r w:rsidR="00210E81" w:rsidRPr="00210E81">
        <w:t>never been greater</w:t>
      </w:r>
      <w:r w:rsidR="00C64D53">
        <w:t xml:space="preserve"> and that </w:t>
      </w:r>
      <w:r w:rsidR="00C64D53" w:rsidRPr="00C64D53">
        <w:t xml:space="preserve">we need to </w:t>
      </w:r>
      <w:r w:rsidR="00C64D53">
        <w:t xml:space="preserve">continue to work together to </w:t>
      </w:r>
      <w:r w:rsidR="00C64D53" w:rsidRPr="00C64D53">
        <w:t xml:space="preserve">deliver healthy, </w:t>
      </w:r>
      <w:r w:rsidR="00067BBC" w:rsidRPr="00C64D53">
        <w:t>sustainable,</w:t>
      </w:r>
      <w:r w:rsidR="00C64D53" w:rsidRPr="00C64D53">
        <w:t xml:space="preserve"> and affordable diets for a growing population. </w:t>
      </w:r>
      <w:r w:rsidR="009F4D59">
        <w:t xml:space="preserve"> </w:t>
      </w:r>
    </w:p>
    <w:p w14:paraId="70DEF8CC" w14:textId="152CBB63" w:rsidR="00D37377" w:rsidRDefault="002852B8" w:rsidP="00F42911">
      <w:r>
        <w:t xml:space="preserve">RC added </w:t>
      </w:r>
      <w:r w:rsidR="00C965BB">
        <w:t xml:space="preserve">that as a processor, </w:t>
      </w:r>
      <w:proofErr w:type="spellStart"/>
      <w:r w:rsidR="00C965BB">
        <w:t>L</w:t>
      </w:r>
      <w:r w:rsidR="00C965BB" w:rsidRPr="00123CDE">
        <w:t>abeyrie</w:t>
      </w:r>
      <w:proofErr w:type="spellEnd"/>
      <w:r w:rsidR="00C965BB">
        <w:t xml:space="preserve"> </w:t>
      </w:r>
      <w:r w:rsidR="00184014">
        <w:t xml:space="preserve">is </w:t>
      </w:r>
      <w:r w:rsidR="00C965BB">
        <w:t>aligned with UK retailers</w:t>
      </w:r>
      <w:r w:rsidR="006A2F0D">
        <w:t xml:space="preserve"> in the desire to see more UK certified seafood</w:t>
      </w:r>
      <w:r w:rsidR="00D37377">
        <w:t xml:space="preserve"> and </w:t>
      </w:r>
      <w:r w:rsidR="004D0874">
        <w:t xml:space="preserve">noted </w:t>
      </w:r>
      <w:r w:rsidR="00D37377">
        <w:t>that increased sustainability – through MSC certification – is built into their organisation’s policy</w:t>
      </w:r>
      <w:r w:rsidR="008E7DF3">
        <w:t xml:space="preserve">. RC highlighted that </w:t>
      </w:r>
      <w:proofErr w:type="spellStart"/>
      <w:r w:rsidR="00AD256A">
        <w:t>Labeyrie’s</w:t>
      </w:r>
      <w:proofErr w:type="spellEnd"/>
      <w:r w:rsidR="00AD256A">
        <w:t xml:space="preserve"> </w:t>
      </w:r>
      <w:r w:rsidR="008E7DF3">
        <w:t>sister organisation</w:t>
      </w:r>
      <w:r w:rsidR="00860BD4">
        <w:t>s</w:t>
      </w:r>
      <w:r w:rsidR="008E7DF3">
        <w:t xml:space="preserve"> in France </w:t>
      </w:r>
      <w:r w:rsidR="00D37377">
        <w:t xml:space="preserve">and Belgium </w:t>
      </w:r>
      <w:r w:rsidR="00130D49">
        <w:t>are also driving to increase the number of MSC</w:t>
      </w:r>
      <w:r w:rsidR="004A28B6">
        <w:t xml:space="preserve"> products they sell with one of </w:t>
      </w:r>
      <w:proofErr w:type="spellStart"/>
      <w:r w:rsidR="004A28B6">
        <w:t>La</w:t>
      </w:r>
      <w:r w:rsidR="00535EB7">
        <w:t>beyrie</w:t>
      </w:r>
      <w:proofErr w:type="spellEnd"/>
      <w:r w:rsidR="00535EB7">
        <w:t xml:space="preserve"> </w:t>
      </w:r>
      <w:r w:rsidR="00D37377">
        <w:t xml:space="preserve">core principles </w:t>
      </w:r>
      <w:r w:rsidR="008E1E98">
        <w:t xml:space="preserve">and to support FIPs whenever an opportunity arises. </w:t>
      </w:r>
      <w:proofErr w:type="spellStart"/>
      <w:r w:rsidR="00790630">
        <w:t>L</w:t>
      </w:r>
      <w:r w:rsidR="00790630" w:rsidRPr="00123CDE">
        <w:t>abeyrie</w:t>
      </w:r>
      <w:r w:rsidR="00790630">
        <w:t>’s</w:t>
      </w:r>
      <w:proofErr w:type="spellEnd"/>
      <w:r w:rsidR="00790630">
        <w:t xml:space="preserve"> competitors in mainland Europe are also asking for more MSC products </w:t>
      </w:r>
      <w:r w:rsidR="00EE676A">
        <w:t xml:space="preserve">and </w:t>
      </w:r>
      <w:r w:rsidR="002E53AA">
        <w:t xml:space="preserve">it </w:t>
      </w:r>
      <w:r w:rsidR="00EE676A">
        <w:t xml:space="preserve">is becoming an </w:t>
      </w:r>
      <w:r w:rsidR="002E53AA">
        <w:t>increasingly</w:t>
      </w:r>
      <w:r w:rsidR="00EE676A">
        <w:t xml:space="preserve"> important part of sourcing and procurement policies. </w:t>
      </w:r>
    </w:p>
    <w:p w14:paraId="5E6B5E30" w14:textId="77777777" w:rsidR="007B0DC3" w:rsidRDefault="007B0DC3" w:rsidP="00F42911"/>
    <w:p w14:paraId="7BED83BC" w14:textId="1B12D50E" w:rsidR="009F4D59" w:rsidRPr="00F331D7" w:rsidRDefault="009F4D59" w:rsidP="009F4D59">
      <w:pPr>
        <w:pStyle w:val="ActionsArisingTitle"/>
      </w:pPr>
      <w:r w:rsidRPr="00F331D7">
        <w:lastRenderedPageBreak/>
        <w:t>Actions from Item</w:t>
      </w:r>
      <w:r w:rsidR="00107B95">
        <w:t xml:space="preserve"> 1</w:t>
      </w:r>
      <w:r w:rsidRPr="00F331D7">
        <w:t>:</w:t>
      </w:r>
    </w:p>
    <w:p w14:paraId="136EEAAF" w14:textId="504AA728" w:rsidR="009F4D59" w:rsidRDefault="009F4D59" w:rsidP="00A90F12">
      <w:pPr>
        <w:pStyle w:val="ListParagraph"/>
        <w:numPr>
          <w:ilvl w:val="0"/>
          <w:numId w:val="7"/>
        </w:numPr>
      </w:pPr>
      <w:r>
        <w:t>Sec</w:t>
      </w:r>
      <w:r w:rsidR="00A90F12">
        <w:t>retariat</w:t>
      </w:r>
      <w:r>
        <w:t xml:space="preserve"> to </w:t>
      </w:r>
      <w:r w:rsidR="0027559D">
        <w:t>facilitate conversation with S</w:t>
      </w:r>
      <w:r w:rsidR="00365208">
        <w:t xml:space="preserve">teering </w:t>
      </w:r>
      <w:r w:rsidR="0027559D">
        <w:t>G</w:t>
      </w:r>
      <w:r w:rsidR="00365208">
        <w:t>roup</w:t>
      </w:r>
      <w:r w:rsidR="0027559D">
        <w:t xml:space="preserve"> to start client group process</w:t>
      </w:r>
      <w:r w:rsidR="00FF52C1">
        <w:t xml:space="preserve"> but will not participate in discussions</w:t>
      </w:r>
      <w:r w:rsidR="003A7174">
        <w:t xml:space="preserve"> other than to provide information about the process. </w:t>
      </w:r>
    </w:p>
    <w:p w14:paraId="41697DC4" w14:textId="75825363" w:rsidR="00395330" w:rsidRDefault="00395330" w:rsidP="00F42911"/>
    <w:p w14:paraId="4E6F5DDA" w14:textId="64B1D5EA" w:rsidR="00DC6319" w:rsidRDefault="005F1530" w:rsidP="006B6633">
      <w:pPr>
        <w:pStyle w:val="AgendaItemNumber"/>
      </w:pPr>
      <w:r w:rsidRPr="00FC1241">
        <w:t xml:space="preserve">Agenda Item </w:t>
      </w:r>
      <w:r>
        <w:t>2</w:t>
      </w:r>
      <w:r w:rsidRPr="00FC1241">
        <w:t xml:space="preserve">: </w:t>
      </w:r>
      <w:r w:rsidR="00F15770">
        <w:t>Stock</w:t>
      </w:r>
      <w:r>
        <w:t xml:space="preserve"> status </w:t>
      </w:r>
    </w:p>
    <w:p w14:paraId="4D289DC9" w14:textId="77777777" w:rsidR="00DC6319" w:rsidRPr="007B0DC3" w:rsidRDefault="00DC6319" w:rsidP="00F42911">
      <w:pPr>
        <w:rPr>
          <w:rStyle w:val="SubtleEmphasis"/>
        </w:rPr>
      </w:pPr>
      <w:r w:rsidRPr="007B0DC3">
        <w:rPr>
          <w:rStyle w:val="SubtleEmphasis"/>
        </w:rPr>
        <w:t>Presentation from Cefas</w:t>
      </w:r>
    </w:p>
    <w:p w14:paraId="6A9C01B4" w14:textId="3C3017FA" w:rsidR="00B53F42" w:rsidRDefault="00F64ED9" w:rsidP="00F42911">
      <w:r>
        <w:t xml:space="preserve">The </w:t>
      </w:r>
      <w:r w:rsidRPr="003663D7">
        <w:t>Centre for Environment, Fisheries and Aquaculture Science</w:t>
      </w:r>
      <w:r>
        <w:t xml:space="preserve"> (</w:t>
      </w:r>
      <w:r w:rsidR="00B53F42">
        <w:t>Cefas</w:t>
      </w:r>
      <w:r>
        <w:t>)</w:t>
      </w:r>
      <w:r w:rsidR="00B53F42">
        <w:t xml:space="preserve"> </w:t>
      </w:r>
      <w:r w:rsidR="0038584D">
        <w:t>publish</w:t>
      </w:r>
      <w:r w:rsidR="00834EC7">
        <w:t>es</w:t>
      </w:r>
      <w:r w:rsidR="0038584D">
        <w:t xml:space="preserve"> </w:t>
      </w:r>
      <w:r w:rsidR="00B53F42">
        <w:t xml:space="preserve">regional stock assessments </w:t>
      </w:r>
      <w:r w:rsidR="0038584D">
        <w:t xml:space="preserve">for crab and lobster </w:t>
      </w:r>
      <w:r w:rsidR="008944EA">
        <w:t>every two</w:t>
      </w:r>
      <w:r w:rsidR="008F53EE">
        <w:t xml:space="preserve"> to three</w:t>
      </w:r>
      <w:r w:rsidR="008944EA">
        <w:t xml:space="preserve"> years </w:t>
      </w:r>
      <w:r w:rsidR="00EE147C">
        <w:t xml:space="preserve">and provide </w:t>
      </w:r>
      <w:r w:rsidR="008F53EE">
        <w:t xml:space="preserve">a </w:t>
      </w:r>
      <w:r w:rsidR="00EE147C">
        <w:t>short report per region</w:t>
      </w:r>
      <w:r w:rsidR="008F53EE">
        <w:t>. It is difficult to age crustaceans and so Cefas rel</w:t>
      </w:r>
      <w:r w:rsidR="00A92C9C">
        <w:t>ies</w:t>
      </w:r>
      <w:r w:rsidR="008F53EE">
        <w:t xml:space="preserve"> on length</w:t>
      </w:r>
      <w:r w:rsidR="00896270">
        <w:t>-</w:t>
      </w:r>
      <w:r w:rsidR="008F53EE">
        <w:t>based assessment</w:t>
      </w:r>
      <w:r w:rsidR="00896270">
        <w:t>s</w:t>
      </w:r>
      <w:r w:rsidR="008F53EE">
        <w:t xml:space="preserve"> which can </w:t>
      </w:r>
      <w:r w:rsidR="00896270">
        <w:t xml:space="preserve">provide an indication of </w:t>
      </w:r>
      <w:r w:rsidR="00E44B13">
        <w:t>exploitation rates and stock sizes. Inputs to the assessment come from length samples take</w:t>
      </w:r>
      <w:r w:rsidR="00B25F39">
        <w:t>n</w:t>
      </w:r>
      <w:r w:rsidR="00E44B13">
        <w:t xml:space="preserve"> from</w:t>
      </w:r>
      <w:r>
        <w:t xml:space="preserve"> crabs and lobsters</w:t>
      </w:r>
      <w:r w:rsidR="00CA0573">
        <w:t xml:space="preserve"> when they are landed in ports, or from fish merchants. </w:t>
      </w:r>
      <w:r w:rsidR="00142E5C">
        <w:t xml:space="preserve">Landings </w:t>
      </w:r>
      <w:r w:rsidR="00DE54CD">
        <w:t>data contributes to</w:t>
      </w:r>
      <w:r w:rsidR="00142E5C">
        <w:t xml:space="preserve"> the assessment and </w:t>
      </w:r>
      <w:r w:rsidR="00DE54CD">
        <w:t>i</w:t>
      </w:r>
      <w:r w:rsidR="00142E5C">
        <w:t>s obtained through logbooks, buy</w:t>
      </w:r>
      <w:r w:rsidR="00404153">
        <w:t xml:space="preserve">er and seller records and monthly shellfish return forms. </w:t>
      </w:r>
      <w:r w:rsidR="00EB3DF6">
        <w:t>RM</w:t>
      </w:r>
      <w:r w:rsidR="003267AC">
        <w:t xml:space="preserve"> noted that w</w:t>
      </w:r>
      <w:r w:rsidR="00404153">
        <w:t xml:space="preserve">ithin the assessment </w:t>
      </w:r>
      <w:r w:rsidR="00A032E4">
        <w:t xml:space="preserve">certain parameters are fixed and these include growth rate (per region), mortality and maximum size. </w:t>
      </w:r>
    </w:p>
    <w:p w14:paraId="0A880438" w14:textId="79DB2112" w:rsidR="00BC30DE" w:rsidRDefault="00BC30DE" w:rsidP="00F42911">
      <w:r>
        <w:t>The South West is the second largest crab fishery in England</w:t>
      </w:r>
      <w:r w:rsidR="00DE54CD">
        <w:t>. L</w:t>
      </w:r>
      <w:r w:rsidR="00363B1F">
        <w:t xml:space="preserve">andings from the Western Channel and Celtic sea region </w:t>
      </w:r>
      <w:r w:rsidR="00DE54CD">
        <w:t xml:space="preserve">have </w:t>
      </w:r>
      <w:r w:rsidR="00363B1F">
        <w:t>drop</w:t>
      </w:r>
      <w:r w:rsidR="00DE54CD">
        <w:t>ped</w:t>
      </w:r>
      <w:r w:rsidR="00363B1F">
        <w:t xml:space="preserve"> since a 2014 high – although </w:t>
      </w:r>
      <w:r w:rsidR="00DF4A79">
        <w:t>have remained stable in recent years</w:t>
      </w:r>
      <w:r w:rsidR="00363B1F">
        <w:t xml:space="preserve">. </w:t>
      </w:r>
      <w:r w:rsidR="0064144F">
        <w:t>RM pointed out that Cefas know the number of days fished but not the number of pots being used in the fishery</w:t>
      </w:r>
      <w:r w:rsidR="00657C87">
        <w:t xml:space="preserve">, which does not give the full picture of ongoing effort in the crab fishery. </w:t>
      </w:r>
    </w:p>
    <w:p w14:paraId="36ECF91D" w14:textId="7BD2D932" w:rsidR="00697DE8" w:rsidRDefault="00657C87" w:rsidP="00F42911">
      <w:r>
        <w:t>Results</w:t>
      </w:r>
      <w:r w:rsidR="00B610C0">
        <w:t xml:space="preserve"> from the </w:t>
      </w:r>
      <w:r w:rsidR="005E61A5">
        <w:t>W</w:t>
      </w:r>
      <w:r w:rsidR="00B610C0">
        <w:t>estern Channel</w:t>
      </w:r>
      <w:r>
        <w:t xml:space="preserve"> </w:t>
      </w:r>
      <w:r w:rsidR="00DF4A79">
        <w:t xml:space="preserve">stock assessment </w:t>
      </w:r>
      <w:r>
        <w:t xml:space="preserve">indicated that landings for </w:t>
      </w:r>
      <w:r w:rsidR="00F76568">
        <w:t xml:space="preserve">female crabs were </w:t>
      </w:r>
      <w:r w:rsidR="00F245BB">
        <w:t xml:space="preserve">high, whilst for males they were low. Overall mortality was </w:t>
      </w:r>
      <w:r w:rsidR="008439B3">
        <w:t>just above the target reference point</w:t>
      </w:r>
      <w:r w:rsidR="00DE54CD">
        <w:t>,</w:t>
      </w:r>
      <w:r w:rsidR="008439B3">
        <w:t xml:space="preserve"> but stock biomass </w:t>
      </w:r>
      <w:r w:rsidR="000A7CC0">
        <w:t xml:space="preserve">(SSB) </w:t>
      </w:r>
      <w:r w:rsidR="008439B3">
        <w:t>was declining</w:t>
      </w:r>
      <w:r w:rsidR="000A7CC0">
        <w:t xml:space="preserve"> – although SSB was close to the target reference point. RM concluded that</w:t>
      </w:r>
      <w:r w:rsidR="0017492D">
        <w:t xml:space="preserve"> </w:t>
      </w:r>
      <w:proofErr w:type="gramStart"/>
      <w:r w:rsidR="0017492D">
        <w:t>overall</w:t>
      </w:r>
      <w:proofErr w:type="gramEnd"/>
      <w:r w:rsidR="000A7CC0">
        <w:t xml:space="preserve"> the stock </w:t>
      </w:r>
      <w:r w:rsidR="0017492D">
        <w:t>was fairly healthy.</w:t>
      </w:r>
    </w:p>
    <w:p w14:paraId="640631B5" w14:textId="62E35C81" w:rsidR="0019242E" w:rsidRDefault="0019242E" w:rsidP="00F42911">
      <w:r>
        <w:t xml:space="preserve">For the Celtic Sea region, </w:t>
      </w:r>
      <w:r w:rsidR="0010476B">
        <w:t xml:space="preserve">stock mortality </w:t>
      </w:r>
      <w:r w:rsidR="00A93F57">
        <w:t>is close to the target reference point</w:t>
      </w:r>
      <w:r w:rsidR="00DE54CD">
        <w:t>;</w:t>
      </w:r>
      <w:r w:rsidR="0017001B">
        <w:t xml:space="preserve"> SSB has remained </w:t>
      </w:r>
      <w:proofErr w:type="gramStart"/>
      <w:r w:rsidR="0017001B">
        <w:t>fairly stable</w:t>
      </w:r>
      <w:proofErr w:type="gramEnd"/>
      <w:r w:rsidR="0017001B">
        <w:t xml:space="preserve"> for the last 10 years and is close to the target reference point. Like the Western Channel fishery, the Celtic Sea landings are dominated </w:t>
      </w:r>
      <w:r w:rsidR="00DE54CD">
        <w:t xml:space="preserve">by </w:t>
      </w:r>
      <w:r w:rsidR="0017001B">
        <w:t xml:space="preserve">female crabs with the assessment for both regions being based solely on </w:t>
      </w:r>
      <w:r w:rsidR="00653E4A">
        <w:t>information</w:t>
      </w:r>
      <w:r w:rsidR="004E04FF">
        <w:t xml:space="preserve"> for female crabs, as male landings are so low. </w:t>
      </w:r>
    </w:p>
    <w:p w14:paraId="0C32BB53" w14:textId="0526E488" w:rsidR="00074B12" w:rsidRDefault="00074B12" w:rsidP="00F42911">
      <w:r>
        <w:t xml:space="preserve">RM concluded that the </w:t>
      </w:r>
      <w:r w:rsidR="001D109A">
        <w:t xml:space="preserve">assessment results are indicative rather than absolute but show useful trends over time. </w:t>
      </w:r>
      <w:r w:rsidR="004211ED">
        <w:t>RM</w:t>
      </w:r>
      <w:r w:rsidR="001D109A">
        <w:t xml:space="preserve"> believed that pot numbers are </w:t>
      </w:r>
      <w:r w:rsidR="00D830B9">
        <w:t>increasing,</w:t>
      </w:r>
      <w:r w:rsidR="001D109A">
        <w:t xml:space="preserve"> and the fishery is moving further offshore, but that cannot be accounted for in the model</w:t>
      </w:r>
      <w:r w:rsidR="00C6596C">
        <w:t xml:space="preserve">. The results from the assessment are useful but </w:t>
      </w:r>
      <w:r w:rsidR="00F451FE">
        <w:t>should be used with caution.</w:t>
      </w:r>
    </w:p>
    <w:p w14:paraId="747DEB61" w14:textId="38535C1E" w:rsidR="00DC6319" w:rsidRDefault="00DF265C" w:rsidP="00F42911">
      <w:pPr>
        <w:rPr>
          <w:rStyle w:val="SubtleEmphasis"/>
        </w:rPr>
      </w:pPr>
      <w:r>
        <w:t xml:space="preserve">The </w:t>
      </w:r>
      <w:r w:rsidR="00DE54CD">
        <w:t xml:space="preserve">South West </w:t>
      </w:r>
      <w:r>
        <w:t>lobster assessment</w:t>
      </w:r>
      <w:r w:rsidR="00DE54CD">
        <w:t xml:space="preserve"> </w:t>
      </w:r>
      <w:r w:rsidR="00072E4B">
        <w:t xml:space="preserve">indicated that effort had increased in the past few years with landings </w:t>
      </w:r>
      <w:r w:rsidR="00C37849">
        <w:t>remaining</w:t>
      </w:r>
      <w:r w:rsidR="00072E4B">
        <w:t xml:space="preserve"> relatively stable</w:t>
      </w:r>
      <w:r w:rsidR="00C37849">
        <w:t xml:space="preserve">. The </w:t>
      </w:r>
      <w:r w:rsidR="00081A02">
        <w:t>exploitation</w:t>
      </w:r>
      <w:r w:rsidR="00C37849">
        <w:t xml:space="preserve"> of lobsters in the South Wes</w:t>
      </w:r>
      <w:r w:rsidR="00081A02">
        <w:t xml:space="preserve">t has remained </w:t>
      </w:r>
      <w:proofErr w:type="gramStart"/>
      <w:r w:rsidR="00081A02">
        <w:t>fairly constant</w:t>
      </w:r>
      <w:proofErr w:type="gramEnd"/>
      <w:r w:rsidR="00081A02">
        <w:t>, with SSB also remaining stable. Overall RM think</w:t>
      </w:r>
      <w:r w:rsidR="00DE54CD">
        <w:t>s</w:t>
      </w:r>
      <w:r w:rsidR="00583386">
        <w:t xml:space="preserve"> there are </w:t>
      </w:r>
      <w:r w:rsidR="009F4D59">
        <w:t xml:space="preserve">not </w:t>
      </w:r>
      <w:r w:rsidR="00583386">
        <w:t>any issues with the stock.</w:t>
      </w:r>
    </w:p>
    <w:p w14:paraId="076C5666" w14:textId="77777777" w:rsidR="003D0761" w:rsidRDefault="003D0761" w:rsidP="00F42911">
      <w:pPr>
        <w:rPr>
          <w:rStyle w:val="SubtleEmphasis"/>
        </w:rPr>
      </w:pPr>
    </w:p>
    <w:p w14:paraId="15B9ACDE" w14:textId="12349CB4" w:rsidR="00DC6319" w:rsidRPr="007B0DC3" w:rsidRDefault="00DC6319" w:rsidP="00F42911">
      <w:pPr>
        <w:rPr>
          <w:rStyle w:val="SubtleEmphasis"/>
        </w:rPr>
      </w:pPr>
      <w:r w:rsidRPr="007B0DC3">
        <w:rPr>
          <w:rStyle w:val="SubtleEmphasis"/>
        </w:rPr>
        <w:t>Group discussion</w:t>
      </w:r>
    </w:p>
    <w:p w14:paraId="2640AA01" w14:textId="54209488" w:rsidR="00A47B97" w:rsidRDefault="00CA409B" w:rsidP="00F42911">
      <w:r>
        <w:t xml:space="preserve">TH </w:t>
      </w:r>
      <w:r w:rsidR="00B15D2B">
        <w:t>asked whether there were large landings of crab in the Bristol Channel</w:t>
      </w:r>
      <w:r w:rsidR="00DE54CD">
        <w:t xml:space="preserve">, which is </w:t>
      </w:r>
      <w:r w:rsidR="00B15D2B">
        <w:t xml:space="preserve">currently outside the </w:t>
      </w:r>
      <w:proofErr w:type="spellStart"/>
      <w:r w:rsidR="00B15D2B">
        <w:t>UoA</w:t>
      </w:r>
      <w:proofErr w:type="spellEnd"/>
      <w:r w:rsidR="00B15D2B">
        <w:t xml:space="preserve"> of the F</w:t>
      </w:r>
      <w:r w:rsidR="00FA4D7B">
        <w:t>IP</w:t>
      </w:r>
      <w:r w:rsidR="004615BA">
        <w:t xml:space="preserve"> </w:t>
      </w:r>
      <w:r w:rsidR="00DE54CD">
        <w:t xml:space="preserve">so </w:t>
      </w:r>
      <w:r w:rsidR="004615BA">
        <w:t xml:space="preserve">not much research has gone into </w:t>
      </w:r>
      <w:r w:rsidR="00DE54CD">
        <w:t>determining</w:t>
      </w:r>
      <w:r w:rsidR="004615BA">
        <w:t xml:space="preserve"> landings from that area. RM believed there was some landings</w:t>
      </w:r>
      <w:r w:rsidR="00A24FA4">
        <w:t xml:space="preserve"> from the Bristol Channel</w:t>
      </w:r>
      <w:r w:rsidR="004615BA">
        <w:t xml:space="preserve"> </w:t>
      </w:r>
      <w:r w:rsidR="004A5878">
        <w:t xml:space="preserve">but as it is </w:t>
      </w:r>
      <w:r w:rsidR="00A24FA4">
        <w:t>shared waters</w:t>
      </w:r>
      <w:r w:rsidR="004A5878">
        <w:t xml:space="preserve"> with Wales it complicates knowing exact landings</w:t>
      </w:r>
      <w:r w:rsidR="00806062">
        <w:t xml:space="preserve"> data</w:t>
      </w:r>
      <w:r w:rsidR="00A24FA4">
        <w:t xml:space="preserve"> as Welsh landings are not collated by Cefas</w:t>
      </w:r>
      <w:r w:rsidR="004A5878">
        <w:t xml:space="preserve">. </w:t>
      </w:r>
      <w:proofErr w:type="spellStart"/>
      <w:r w:rsidR="0022272C">
        <w:t>NdR</w:t>
      </w:r>
      <w:proofErr w:type="spellEnd"/>
      <w:r w:rsidR="0022272C">
        <w:t xml:space="preserve"> believed there was a </w:t>
      </w:r>
      <w:r w:rsidR="0032064F">
        <w:t>significant</w:t>
      </w:r>
      <w:r w:rsidR="0022272C">
        <w:t xml:space="preserve"> amount being landed, with crab vessels based out of Padstow and Newquay</w:t>
      </w:r>
      <w:r w:rsidR="008B581B">
        <w:t xml:space="preserve">. JB </w:t>
      </w:r>
      <w:r w:rsidR="008B581B">
        <w:lastRenderedPageBreak/>
        <w:t>added that</w:t>
      </w:r>
      <w:r w:rsidR="00990516">
        <w:t xml:space="preserve"> ICES area</w:t>
      </w:r>
      <w:r w:rsidR="008B581B">
        <w:t xml:space="preserve"> 7f goes to the Welsh coast </w:t>
      </w:r>
      <w:r w:rsidR="006539C9">
        <w:t>and that crab would be landed around the coast to Minehead</w:t>
      </w:r>
      <w:r w:rsidR="009851D6">
        <w:t>. In JB’s area</w:t>
      </w:r>
      <w:r w:rsidR="003953F4">
        <w:t xml:space="preserve"> – North Devon - </w:t>
      </w:r>
      <w:r w:rsidR="009851D6">
        <w:t xml:space="preserve">they catch some crab but not in large volumes, and in the winter months the fishery </w:t>
      </w:r>
      <w:proofErr w:type="gramStart"/>
      <w:r w:rsidR="009851D6">
        <w:t>isn’t</w:t>
      </w:r>
      <w:proofErr w:type="gramEnd"/>
      <w:r w:rsidR="009851D6">
        <w:t xml:space="preserve"> viable. </w:t>
      </w:r>
      <w:r w:rsidR="00E543D1">
        <w:t xml:space="preserve">SC mentioned </w:t>
      </w:r>
      <w:r w:rsidR="002F48F2">
        <w:t>that</w:t>
      </w:r>
      <w:r w:rsidR="00E543D1">
        <w:t xml:space="preserve"> crab was landed all the way up to Somerset, with this information already in the F</w:t>
      </w:r>
      <w:r w:rsidR="0020682D">
        <w:t xml:space="preserve">ishery </w:t>
      </w:r>
      <w:r w:rsidR="00E543D1">
        <w:t>M</w:t>
      </w:r>
      <w:r w:rsidR="0020682D">
        <w:t xml:space="preserve">anagement </w:t>
      </w:r>
      <w:r w:rsidR="00E543D1">
        <w:t>P</w:t>
      </w:r>
      <w:r w:rsidR="0020682D">
        <w:t>lan (FMP)</w:t>
      </w:r>
      <w:r w:rsidR="00E543D1">
        <w:t>.</w:t>
      </w:r>
    </w:p>
    <w:p w14:paraId="3EA7F02F" w14:textId="77777777" w:rsidR="0020682D" w:rsidRDefault="0020682D" w:rsidP="00F42911"/>
    <w:p w14:paraId="3E80597E" w14:textId="289B006E" w:rsidR="002D1DAE" w:rsidRDefault="00F15770" w:rsidP="00F15770">
      <w:pPr>
        <w:pStyle w:val="AgendaItemNumber"/>
      </w:pPr>
      <w:r w:rsidRPr="00FC1241">
        <w:t xml:space="preserve">Agenda Item </w:t>
      </w:r>
      <w:r>
        <w:t>3</w:t>
      </w:r>
      <w:r w:rsidRPr="00FC1241">
        <w:t xml:space="preserve">: </w:t>
      </w:r>
      <w:r>
        <w:t xml:space="preserve">Defra </w:t>
      </w:r>
      <w:r w:rsidR="002D1DAE">
        <w:t xml:space="preserve">FMP update </w:t>
      </w:r>
    </w:p>
    <w:p w14:paraId="4E9E49E1" w14:textId="21BC5782" w:rsidR="00655A3E" w:rsidRDefault="0051122F" w:rsidP="00F42911">
      <w:r>
        <w:t xml:space="preserve">MJ informed the group that Defra’s Fishery Management Plan (FMP) strategy </w:t>
      </w:r>
      <w:r w:rsidR="008D72A9">
        <w:t xml:space="preserve">is </w:t>
      </w:r>
      <w:r>
        <w:t xml:space="preserve">being led by the Defra sustainability team alongside representatives from the Devolved Administrations. A key part of the FMPs relates to ongoing work with the Joint Fishery Statements and ensuring they reflect what </w:t>
      </w:r>
      <w:r w:rsidR="00A522FF">
        <w:t>is required</w:t>
      </w:r>
      <w:r>
        <w:t xml:space="preserve"> in the Fisheries Act. </w:t>
      </w:r>
    </w:p>
    <w:p w14:paraId="7FEE4548" w14:textId="2F2C6B8A" w:rsidR="00975CEE" w:rsidRDefault="0051122F" w:rsidP="00F42911">
      <w:r>
        <w:t xml:space="preserve">Defra </w:t>
      </w:r>
      <w:r w:rsidR="00A522FF">
        <w:t xml:space="preserve">is </w:t>
      </w:r>
      <w:r>
        <w:t xml:space="preserve">willing to support the </w:t>
      </w:r>
      <w:r w:rsidR="008D72A9">
        <w:t>drafting of</w:t>
      </w:r>
      <w:r>
        <w:t xml:space="preserve"> text </w:t>
      </w:r>
      <w:r w:rsidR="008D72A9">
        <w:t>for</w:t>
      </w:r>
      <w:r>
        <w:t xml:space="preserve"> some sections in the FIP’s FMP</w:t>
      </w:r>
      <w:r w:rsidR="008A455F">
        <w:t xml:space="preserve">, such as long-term objectives, but other sections such as fisheries specific objectives will take longer as they need to be determined in collaboration with industry. Progress </w:t>
      </w:r>
      <w:r w:rsidR="008D72A9">
        <w:t>on</w:t>
      </w:r>
      <w:r w:rsidR="008A455F">
        <w:t xml:space="preserve"> Defra’s</w:t>
      </w:r>
      <w:r w:rsidR="007348DC">
        <w:t xml:space="preserve"> own</w:t>
      </w:r>
      <w:r w:rsidR="008A455F">
        <w:t xml:space="preserve"> FMP </w:t>
      </w:r>
      <w:r w:rsidR="0020682D">
        <w:t xml:space="preserve">strategy </w:t>
      </w:r>
      <w:r w:rsidR="008A455F">
        <w:t>has been delayed by</w:t>
      </w:r>
      <w:r w:rsidR="00BB014D">
        <w:t xml:space="preserve"> the impacts of</w:t>
      </w:r>
      <w:r w:rsidR="008A455F">
        <w:t xml:space="preserve"> </w:t>
      </w:r>
      <w:proofErr w:type="gramStart"/>
      <w:r w:rsidR="008A455F">
        <w:t>Covid</w:t>
      </w:r>
      <w:proofErr w:type="gramEnd"/>
      <w:r w:rsidR="008A455F">
        <w:t xml:space="preserve"> but they remain keen to support </w:t>
      </w:r>
      <w:r w:rsidR="007722F3">
        <w:t>the FMPs being drafting in Project UK FIPs</w:t>
      </w:r>
      <w:r w:rsidR="00BE6EC2">
        <w:t xml:space="preserve"> </w:t>
      </w:r>
      <w:r w:rsidR="008A455F">
        <w:t xml:space="preserve">and to ensure there </w:t>
      </w:r>
      <w:r w:rsidR="008D72A9">
        <w:t xml:space="preserve">is strong communication </w:t>
      </w:r>
      <w:r w:rsidR="008A455F">
        <w:t xml:space="preserve">between crab FMPs across the UK. MJ </w:t>
      </w:r>
      <w:r w:rsidR="00421ECC">
        <w:t xml:space="preserve">noted that the FMP drafted by </w:t>
      </w:r>
      <w:r w:rsidR="008A455F">
        <w:t xml:space="preserve">this </w:t>
      </w:r>
      <w:r w:rsidR="00BE6EC2">
        <w:t>S</w:t>
      </w:r>
      <w:r w:rsidR="00421ECC">
        <w:t xml:space="preserve">teering </w:t>
      </w:r>
      <w:r w:rsidR="00BE6EC2">
        <w:t>G</w:t>
      </w:r>
      <w:r w:rsidR="00421ECC">
        <w:t xml:space="preserve">roup should </w:t>
      </w:r>
      <w:r w:rsidR="008D72A9">
        <w:t>align</w:t>
      </w:r>
      <w:r w:rsidR="008A455F">
        <w:t xml:space="preserve"> with other FMPs due to the overlap in members with the S</w:t>
      </w:r>
      <w:r w:rsidR="005E7F68">
        <w:t xml:space="preserve">hellfish </w:t>
      </w:r>
      <w:r w:rsidR="008A455F">
        <w:t>I</w:t>
      </w:r>
      <w:r w:rsidR="005E7F68">
        <w:t xml:space="preserve">ndustry </w:t>
      </w:r>
      <w:r w:rsidR="008A455F">
        <w:t>A</w:t>
      </w:r>
      <w:r w:rsidR="005E7F68">
        <w:t xml:space="preserve">dvisory </w:t>
      </w:r>
      <w:r w:rsidR="008A455F">
        <w:t>G</w:t>
      </w:r>
      <w:r w:rsidR="005E7F68">
        <w:t>roup (SIAG)</w:t>
      </w:r>
      <w:r w:rsidR="00821268">
        <w:t xml:space="preserve"> and</w:t>
      </w:r>
      <w:r w:rsidR="008A455F">
        <w:t xml:space="preserve"> C</w:t>
      </w:r>
      <w:r w:rsidR="00D631C8">
        <w:t xml:space="preserve">rab </w:t>
      </w:r>
      <w:r w:rsidR="008A455F">
        <w:t>M</w:t>
      </w:r>
      <w:r w:rsidR="00D631C8">
        <w:t xml:space="preserve">anagement </w:t>
      </w:r>
      <w:r w:rsidR="008A455F">
        <w:t>G</w:t>
      </w:r>
      <w:r w:rsidR="00D631C8">
        <w:t>roup (CMG)</w:t>
      </w:r>
      <w:r w:rsidR="008A455F">
        <w:t>.</w:t>
      </w:r>
    </w:p>
    <w:p w14:paraId="503AE222" w14:textId="1EFE4478" w:rsidR="009F4D59" w:rsidRPr="00F331D7" w:rsidRDefault="009F4D59" w:rsidP="009F4D59">
      <w:pPr>
        <w:pStyle w:val="ActionsArisingTitle"/>
      </w:pPr>
      <w:r w:rsidRPr="00F331D7">
        <w:t>Actions from Item</w:t>
      </w:r>
      <w:r w:rsidR="009D1959">
        <w:t xml:space="preserve"> 3</w:t>
      </w:r>
      <w:r w:rsidRPr="00F331D7">
        <w:t>:</w:t>
      </w:r>
    </w:p>
    <w:p w14:paraId="4E6A3849" w14:textId="56264960" w:rsidR="00F15770" w:rsidRDefault="009F4D59" w:rsidP="00A90F12">
      <w:pPr>
        <w:pStyle w:val="ListParagraph"/>
        <w:numPr>
          <w:ilvl w:val="0"/>
          <w:numId w:val="6"/>
        </w:numPr>
      </w:pPr>
      <w:r>
        <w:t xml:space="preserve">Defra to </w:t>
      </w:r>
      <w:r w:rsidR="00946F2D">
        <w:t xml:space="preserve">provide </w:t>
      </w:r>
      <w:r w:rsidR="0000468C">
        <w:t xml:space="preserve">the secretariat with </w:t>
      </w:r>
      <w:r w:rsidR="00946F2D">
        <w:t>wording for</w:t>
      </w:r>
      <w:r>
        <w:t xml:space="preserve"> </w:t>
      </w:r>
      <w:r w:rsidR="00A5014C">
        <w:t xml:space="preserve">section 2 (governance) of the Project UK crab and lobster </w:t>
      </w:r>
      <w:r>
        <w:t>FMP</w:t>
      </w:r>
      <w:r w:rsidR="00946F2D">
        <w:t>.</w:t>
      </w:r>
      <w:r>
        <w:t xml:space="preserve"> </w:t>
      </w:r>
    </w:p>
    <w:p w14:paraId="3E44F392" w14:textId="77777777" w:rsidR="007649B9" w:rsidRDefault="007649B9" w:rsidP="007649B9">
      <w:pPr>
        <w:pStyle w:val="AgendaItemNumber"/>
      </w:pPr>
    </w:p>
    <w:p w14:paraId="26665CA9" w14:textId="527FC1AA" w:rsidR="008824B1" w:rsidRDefault="007649B9" w:rsidP="006B6633">
      <w:pPr>
        <w:pStyle w:val="AgendaItemNumber"/>
      </w:pPr>
      <w:r w:rsidRPr="00FC1241">
        <w:t xml:space="preserve">Agenda Item </w:t>
      </w:r>
      <w:r>
        <w:t>4</w:t>
      </w:r>
      <w:r w:rsidRPr="00FC1241">
        <w:t xml:space="preserve">: </w:t>
      </w:r>
      <w:r>
        <w:t xml:space="preserve">Action 1 and 2 harvest Strategy and harvest control rules  </w:t>
      </w:r>
    </w:p>
    <w:p w14:paraId="0DBD8FDE" w14:textId="004A367A" w:rsidR="008824B1" w:rsidRDefault="008824B1" w:rsidP="008824B1">
      <w:r>
        <w:t>The objective for Actions 1 and 2 is to have an adaptive management system, which monitors the reference indicators proactively to ensure the stock does not decline. This needs to be formalised to produce the harvest strategy for the fishery. T</w:t>
      </w:r>
      <w:r w:rsidR="00554B12">
        <w:t>H advised that t</w:t>
      </w:r>
      <w:r>
        <w:t>he Steering Group needs to develop fisher</w:t>
      </w:r>
      <w:r w:rsidR="00554B12">
        <w:t>y-</w:t>
      </w:r>
      <w:r>
        <w:t xml:space="preserve">specific objectives to ensure the fishery is adaptive to changing circumstances, and as a basis for what HCRs are to be </w:t>
      </w:r>
      <w:r w:rsidR="004A6DDC">
        <w:t>used</w:t>
      </w:r>
      <w:r>
        <w:t>.</w:t>
      </w:r>
      <w:r w:rsidR="006361D0">
        <w:t xml:space="preserve"> There is some overlap</w:t>
      </w:r>
      <w:r w:rsidR="00596D84">
        <w:t xml:space="preserve"> of members between Project UK and</w:t>
      </w:r>
      <w:r w:rsidR="005216B7">
        <w:t xml:space="preserve"> </w:t>
      </w:r>
      <w:r w:rsidR="00AA705E">
        <w:t>other</w:t>
      </w:r>
      <w:r w:rsidR="005216B7">
        <w:t xml:space="preserve"> industry-led</w:t>
      </w:r>
      <w:r w:rsidR="00A27FF2">
        <w:t xml:space="preserve"> </w:t>
      </w:r>
      <w:r w:rsidR="00AA705E">
        <w:t>groups</w:t>
      </w:r>
      <w:r w:rsidR="00A27FF2">
        <w:t xml:space="preserve"> which</w:t>
      </w:r>
      <w:r w:rsidR="005216B7">
        <w:t xml:space="preserve"> intend to address the requirements for UK-wide shellfish management.</w:t>
      </w:r>
    </w:p>
    <w:p w14:paraId="4A17CA6D" w14:textId="77777777" w:rsidR="008824B1" w:rsidRDefault="008824B1" w:rsidP="007B477D"/>
    <w:p w14:paraId="1C5FE078" w14:textId="794CB085" w:rsidR="00894684" w:rsidRPr="006858F9" w:rsidRDefault="00894684" w:rsidP="007B477D">
      <w:pPr>
        <w:rPr>
          <w:rStyle w:val="SubtleEmphasis"/>
        </w:rPr>
      </w:pPr>
      <w:r w:rsidRPr="006858F9">
        <w:rPr>
          <w:rStyle w:val="SubtleEmphasis"/>
        </w:rPr>
        <w:t xml:space="preserve">Other industry-led groups: </w:t>
      </w:r>
    </w:p>
    <w:p w14:paraId="6B58F0D7" w14:textId="18E19C40" w:rsidR="00F075F7" w:rsidRDefault="002E27FB" w:rsidP="006858F9">
      <w:r>
        <w:t xml:space="preserve">The </w:t>
      </w:r>
      <w:r w:rsidR="00894684">
        <w:t xml:space="preserve">Shellfish Industry Advisory Group (SIAG) </w:t>
      </w:r>
      <w:r w:rsidR="00DF5AF4">
        <w:t xml:space="preserve">was established in 2019 and now has three </w:t>
      </w:r>
      <w:r w:rsidR="003D0761">
        <w:t>subgroups</w:t>
      </w:r>
      <w:r w:rsidR="00DF5AF4">
        <w:t>:</w:t>
      </w:r>
      <w:r w:rsidR="00DF5AF4" w:rsidRPr="00DF5AF4">
        <w:t xml:space="preserve"> </w:t>
      </w:r>
      <w:r w:rsidR="00DF5AF4">
        <w:t>whelk, lobster and crab.</w:t>
      </w:r>
      <w:r w:rsidR="00DF5AF4" w:rsidRPr="00DF5AF4">
        <w:t xml:space="preserve"> </w:t>
      </w:r>
      <w:r w:rsidR="00421ECC">
        <w:t xml:space="preserve"> CP</w:t>
      </w:r>
      <w:r w:rsidR="00831907">
        <w:t xml:space="preserve"> </w:t>
      </w:r>
      <w:r w:rsidR="00DF5AF4">
        <w:t>chair</w:t>
      </w:r>
      <w:r w:rsidR="00831907">
        <w:t xml:space="preserve">s the Crab Management Group (CMG). </w:t>
      </w:r>
      <w:r w:rsidR="00DF5AF4">
        <w:t xml:space="preserve"> </w:t>
      </w:r>
      <w:r w:rsidR="00DC283A">
        <w:t>There are currently 60 members of the CMG, and they</w:t>
      </w:r>
      <w:r w:rsidR="00DF5AF4">
        <w:t xml:space="preserve"> are </w:t>
      </w:r>
      <w:r w:rsidR="00471431">
        <w:t xml:space="preserve">still </w:t>
      </w:r>
      <w:r w:rsidR="00873723">
        <w:t xml:space="preserve">finalising </w:t>
      </w:r>
      <w:r w:rsidR="00AD4420">
        <w:t xml:space="preserve">their </w:t>
      </w:r>
      <w:r w:rsidR="00DF5AF4">
        <w:t>objectives</w:t>
      </w:r>
      <w:r w:rsidR="00346C50">
        <w:t xml:space="preserve"> in the following areas</w:t>
      </w:r>
      <w:r w:rsidR="00AD4420">
        <w:t>:</w:t>
      </w:r>
      <w:r w:rsidR="00DF5AF4">
        <w:t xml:space="preserve"> </w:t>
      </w:r>
    </w:p>
    <w:p w14:paraId="04549CD6" w14:textId="698D0D2E" w:rsidR="009645A3" w:rsidRDefault="007D1518" w:rsidP="006858F9">
      <w:pPr>
        <w:pStyle w:val="ListParagraph"/>
        <w:numPr>
          <w:ilvl w:val="0"/>
          <w:numId w:val="12"/>
        </w:numPr>
      </w:pPr>
      <w:r>
        <w:t>Improving</w:t>
      </w:r>
      <w:r w:rsidR="009645A3">
        <w:t xml:space="preserve"> </w:t>
      </w:r>
      <w:r w:rsidR="008C4878">
        <w:t xml:space="preserve">the </w:t>
      </w:r>
      <w:r w:rsidR="009645A3">
        <w:t xml:space="preserve">range of tools to manage crab </w:t>
      </w:r>
      <w:r>
        <w:t xml:space="preserve">fisheries, their </w:t>
      </w:r>
      <w:r w:rsidR="00080709">
        <w:t xml:space="preserve">appropriateness </w:t>
      </w:r>
      <w:r>
        <w:t xml:space="preserve">and </w:t>
      </w:r>
      <w:r w:rsidR="008C4878">
        <w:t xml:space="preserve">understanding the </w:t>
      </w:r>
      <w:r>
        <w:t xml:space="preserve">consequences </w:t>
      </w:r>
      <w:r w:rsidR="008C4878">
        <w:t xml:space="preserve">that </w:t>
      </w:r>
      <w:r>
        <w:t>implementing the tool may have on the fishery.</w:t>
      </w:r>
      <w:r w:rsidR="009645A3">
        <w:t xml:space="preserve"> </w:t>
      </w:r>
    </w:p>
    <w:p w14:paraId="096E8EE9" w14:textId="6D4F000A" w:rsidR="00421DD4" w:rsidRDefault="00A111A5" w:rsidP="006858F9">
      <w:pPr>
        <w:pStyle w:val="ListParagraph"/>
        <w:numPr>
          <w:ilvl w:val="0"/>
          <w:numId w:val="12"/>
        </w:numPr>
      </w:pPr>
      <w:r>
        <w:t>Greater</w:t>
      </w:r>
      <w:r w:rsidR="00EC409E">
        <w:t xml:space="preserve"> research </w:t>
      </w:r>
      <w:r w:rsidR="00421DD4">
        <w:t>to improve the data and better understand what data gaps may exist.</w:t>
      </w:r>
    </w:p>
    <w:p w14:paraId="5C18996A" w14:textId="36D18E2F" w:rsidR="00EC409E" w:rsidRDefault="00421DD4" w:rsidP="006B6633">
      <w:pPr>
        <w:pStyle w:val="ListParagraph"/>
        <w:numPr>
          <w:ilvl w:val="0"/>
          <w:numId w:val="12"/>
        </w:numPr>
      </w:pPr>
      <w:r>
        <w:t>E</w:t>
      </w:r>
      <w:r w:rsidR="00094F86">
        <w:t xml:space="preserve">xploring opportunities </w:t>
      </w:r>
      <w:r w:rsidR="00232F9F">
        <w:t xml:space="preserve">for managing effort, including </w:t>
      </w:r>
      <w:r w:rsidR="00094F86">
        <w:t>limit</w:t>
      </w:r>
      <w:r w:rsidR="00232F9F">
        <w:t>s to</w:t>
      </w:r>
      <w:r w:rsidR="00094F86">
        <w:t xml:space="preserve"> fishing in the short term; and developing </w:t>
      </w:r>
      <w:r>
        <w:t xml:space="preserve">a </w:t>
      </w:r>
      <w:r w:rsidR="00094F86">
        <w:t xml:space="preserve">management </w:t>
      </w:r>
      <w:r w:rsidR="0074526C">
        <w:t>toolbox</w:t>
      </w:r>
      <w:r w:rsidR="00094F86">
        <w:t xml:space="preserve"> for</w:t>
      </w:r>
      <w:r>
        <w:t xml:space="preserve"> fishing representatives</w:t>
      </w:r>
      <w:r w:rsidR="00094F86">
        <w:t xml:space="preserve"> and management </w:t>
      </w:r>
      <w:r>
        <w:t>authorities to guide the right management at the right scale.</w:t>
      </w:r>
      <w:r w:rsidR="00094F86">
        <w:t xml:space="preserve"> </w:t>
      </w:r>
    </w:p>
    <w:p w14:paraId="4779D075" w14:textId="69E070F5" w:rsidR="00A50080" w:rsidRDefault="00A50080" w:rsidP="00F42911">
      <w:r>
        <w:t xml:space="preserve">MY </w:t>
      </w:r>
      <w:r w:rsidR="00286CC0">
        <w:t>noted the value of both</w:t>
      </w:r>
      <w:r w:rsidR="00611E68">
        <w:t xml:space="preserve"> </w:t>
      </w:r>
      <w:r>
        <w:t xml:space="preserve">the CMG and Project </w:t>
      </w:r>
      <w:r w:rsidR="00930D68">
        <w:t>UK groups.</w:t>
      </w:r>
      <w:r>
        <w:t xml:space="preserve"> </w:t>
      </w:r>
      <w:r w:rsidR="001F5169">
        <w:t>The</w:t>
      </w:r>
      <w:r>
        <w:t xml:space="preserve"> recent developments to the Trade and Continuity Agreement (TCA) sets out caps on vessels that fish in EU waters; something that will </w:t>
      </w:r>
      <w:r>
        <w:lastRenderedPageBreak/>
        <w:t>need reflecting in the FIP’s FMP</w:t>
      </w:r>
      <w:r w:rsidR="009647B5">
        <w:t xml:space="preserve">. CP said the CMG had written to Defra for clarification around the TCA, something HH said was complex but Defra had had good discussion around the TCA with the </w:t>
      </w:r>
      <w:r w:rsidR="00034EF6">
        <w:t>Whelk Management Group</w:t>
      </w:r>
      <w:r w:rsidR="009647B5">
        <w:t xml:space="preserve">. </w:t>
      </w:r>
    </w:p>
    <w:p w14:paraId="3FC6FBB4" w14:textId="38277EDE" w:rsidR="0003085A" w:rsidRDefault="00EF1027" w:rsidP="00F42911">
      <w:pPr>
        <w:rPr>
          <w:rStyle w:val="SubtleEmphasis"/>
        </w:rPr>
      </w:pPr>
      <w:r>
        <w:t>CP said that timeline for the CMG objectives has been complicated by changes to the Western Waters alternatives workstream and invited JP to join the next CMG meeting to find out more detail on the group. CP encouraged the FIP not to wait on progress developing a harvest strategy from the CMG but to keep close links between groups</w:t>
      </w:r>
      <w:r w:rsidRPr="00676AF6">
        <w:t xml:space="preserve"> </w:t>
      </w:r>
      <w:r>
        <w:t>to avoid duplicating effort.</w:t>
      </w:r>
    </w:p>
    <w:p w14:paraId="71420D79" w14:textId="77777777" w:rsidR="003D0761" w:rsidRDefault="003D0761" w:rsidP="00F42911">
      <w:pPr>
        <w:rPr>
          <w:rStyle w:val="SubtleEmphasis"/>
        </w:rPr>
      </w:pPr>
    </w:p>
    <w:p w14:paraId="787C0FA5" w14:textId="53E0C713" w:rsidR="00EF1027" w:rsidRPr="006B6633" w:rsidRDefault="00EF1027" w:rsidP="00F42911">
      <w:pPr>
        <w:rPr>
          <w:rStyle w:val="SubtleEmphasis"/>
        </w:rPr>
      </w:pPr>
      <w:r w:rsidRPr="006B6633">
        <w:rPr>
          <w:rStyle w:val="SubtleEmphasis"/>
        </w:rPr>
        <w:t xml:space="preserve">Fishery specific objectives </w:t>
      </w:r>
    </w:p>
    <w:p w14:paraId="0DCD142B" w14:textId="234CEA6E" w:rsidR="009647B5" w:rsidRDefault="009647B5" w:rsidP="00F42911">
      <w:r>
        <w:t xml:space="preserve">CB said it is important that fishery objectives </w:t>
      </w:r>
      <w:r w:rsidR="00034EF6">
        <w:t>can</w:t>
      </w:r>
      <w:r>
        <w:t xml:space="preserve"> be achieved with practical solutions</w:t>
      </w:r>
      <w:r w:rsidR="005A58C7">
        <w:t xml:space="preserve">. </w:t>
      </w:r>
      <w:r>
        <w:t xml:space="preserve">For the South West (of England) </w:t>
      </w:r>
      <w:r w:rsidR="005A58C7">
        <w:t xml:space="preserve">the fishery is close to the target reference points and so drastic reductions in effort might not be needed, and that the focus could be put into capping the effort. </w:t>
      </w:r>
      <w:r w:rsidR="0005322A">
        <w:t>As a result, CB believed that the FIP’s harvest strategy should focus on the harvest rate rather than the biomass of the stock. CB cautioned the accuracy of the stability of the stock given the changes in length data and sparse data on pot use.</w:t>
      </w:r>
    </w:p>
    <w:p w14:paraId="55488013" w14:textId="3ABA206B" w:rsidR="00C65E24" w:rsidRDefault="009A017A" w:rsidP="00F42911">
      <w:r>
        <w:t xml:space="preserve">JB </w:t>
      </w:r>
      <w:r w:rsidR="005E61A5">
        <w:t>cautioned that the models produced by Cefas are based on landings data, and supported CB’s comment that the</w:t>
      </w:r>
      <w:r w:rsidR="00DF1579">
        <w:t xml:space="preserve">re may be gaps in </w:t>
      </w:r>
      <w:r w:rsidR="00F17625">
        <w:t xml:space="preserve">the understanding </w:t>
      </w:r>
      <w:r w:rsidR="005E61A5">
        <w:t xml:space="preserve">of the stock status. He believed that capping effort would be difficult to do but recognised </w:t>
      </w:r>
      <w:proofErr w:type="gramStart"/>
      <w:r w:rsidR="005E61A5">
        <w:t>it’s</w:t>
      </w:r>
      <w:proofErr w:type="gramEnd"/>
      <w:r w:rsidR="005E61A5">
        <w:t xml:space="preserve"> something </w:t>
      </w:r>
      <w:r w:rsidR="006466BB">
        <w:t xml:space="preserve">that </w:t>
      </w:r>
      <w:r w:rsidR="005E61A5">
        <w:t xml:space="preserve">should be done. HH flagged to the group that Cefas was working on way to improve stock models, and the data used within them, and </w:t>
      </w:r>
      <w:r w:rsidR="00425AF6">
        <w:t>suggested</w:t>
      </w:r>
      <w:r w:rsidR="005E61A5">
        <w:t xml:space="preserve"> having Defra or Cefas providing an update </w:t>
      </w:r>
      <w:r w:rsidR="00A93629">
        <w:t xml:space="preserve">on this </w:t>
      </w:r>
      <w:r w:rsidR="005E61A5">
        <w:t xml:space="preserve">at the next meeting. </w:t>
      </w:r>
    </w:p>
    <w:p w14:paraId="55F9BEE4" w14:textId="7212B657" w:rsidR="005E61A5" w:rsidRDefault="005E61A5" w:rsidP="00F42911">
      <w:r>
        <w:t xml:space="preserve">Discussion arose between RM, SC and JB around the use of capture release methods for monitoring stock, with RM cautioning </w:t>
      </w:r>
      <w:r w:rsidR="00C03645">
        <w:t xml:space="preserve">that the same </w:t>
      </w:r>
      <w:r w:rsidR="003E6A53">
        <w:t>indivi</w:t>
      </w:r>
      <w:r w:rsidR="00646FF7">
        <w:t xml:space="preserve">dual </w:t>
      </w:r>
      <w:r w:rsidR="00C569F0">
        <w:t xml:space="preserve">could be </w:t>
      </w:r>
      <w:r w:rsidR="00F82267">
        <w:t xml:space="preserve">recaptured multiple times. </w:t>
      </w:r>
      <w:r>
        <w:t xml:space="preserve">SC mentioned that </w:t>
      </w:r>
      <w:r w:rsidR="0088086B">
        <w:t>studies have shown</w:t>
      </w:r>
      <w:r>
        <w:t xml:space="preserve"> that lobsters </w:t>
      </w:r>
      <w:r w:rsidR="0088086B">
        <w:t>are</w:t>
      </w:r>
      <w:r>
        <w:t xml:space="preserve"> more sedentary than crabs</w:t>
      </w:r>
      <w:r w:rsidR="00A02BC4">
        <w:t>, and so mark</w:t>
      </w:r>
      <w:r w:rsidR="00B23454">
        <w:t>, release recapture methods would b</w:t>
      </w:r>
      <w:r w:rsidR="00D0438A">
        <w:t>e</w:t>
      </w:r>
      <w:r w:rsidR="00B23454">
        <w:t xml:space="preserve"> misleading to monitor their stocks.</w:t>
      </w:r>
    </w:p>
    <w:p w14:paraId="0971CD3C" w14:textId="77777777" w:rsidR="001802C1" w:rsidRDefault="001802C1" w:rsidP="00F42911">
      <w:pPr>
        <w:rPr>
          <w:rStyle w:val="SubtleEmphasis"/>
        </w:rPr>
      </w:pPr>
    </w:p>
    <w:p w14:paraId="16DEC682" w14:textId="5FBA4EE7" w:rsidR="001802C1" w:rsidRDefault="006D59EB" w:rsidP="00F42911">
      <w:pPr>
        <w:rPr>
          <w:rStyle w:val="SubtleEmphasis"/>
        </w:rPr>
      </w:pPr>
      <w:r w:rsidRPr="006B6633">
        <w:rPr>
          <w:rStyle w:val="SubtleEmphasis"/>
        </w:rPr>
        <w:t xml:space="preserve">Drafting a harvest strategy </w:t>
      </w:r>
    </w:p>
    <w:p w14:paraId="5720DD9A" w14:textId="4206B872" w:rsidR="00E91BE2" w:rsidRDefault="00D632AF" w:rsidP="00F42911">
      <w:r>
        <w:t>The</w:t>
      </w:r>
      <w:r w:rsidR="00E91BE2">
        <w:t xml:space="preserve"> HCRs need to stipulate what the fishery will do as limit reference points are reached, but these can be decided upon once an overarching specific </w:t>
      </w:r>
      <w:r w:rsidR="00D75CE4">
        <w:t>h</w:t>
      </w:r>
      <w:r w:rsidR="00E91BE2">
        <w:t xml:space="preserve">arvest </w:t>
      </w:r>
      <w:r w:rsidR="00D75CE4">
        <w:t xml:space="preserve">strategy </w:t>
      </w:r>
      <w:r w:rsidR="00E91BE2">
        <w:t xml:space="preserve">has been agreed. </w:t>
      </w:r>
    </w:p>
    <w:p w14:paraId="4FB417D8" w14:textId="612115FC" w:rsidR="00215861" w:rsidRDefault="00E91BE2" w:rsidP="00F42911">
      <w:r>
        <w:t xml:space="preserve">KK asked whether anyone in the Steering Group had the capacity to </w:t>
      </w:r>
      <w:r w:rsidR="00241ED2">
        <w:t>draft the harvest strategy</w:t>
      </w:r>
      <w:r w:rsidR="00B61C78">
        <w:t xml:space="preserve"> and offered </w:t>
      </w:r>
      <w:r w:rsidR="007219E9">
        <w:t>to facilitate a</w:t>
      </w:r>
      <w:r>
        <w:t xml:space="preserve"> </w:t>
      </w:r>
      <w:r w:rsidR="001F72EE">
        <w:t xml:space="preserve">meeting </w:t>
      </w:r>
      <w:r w:rsidR="00AC2B57">
        <w:t>to</w:t>
      </w:r>
      <w:r w:rsidR="00F21086">
        <w:t xml:space="preserve"> </w:t>
      </w:r>
      <w:r w:rsidR="00DD766E">
        <w:t xml:space="preserve">support </w:t>
      </w:r>
      <w:r w:rsidR="001C0407">
        <w:t>if several people</w:t>
      </w:r>
      <w:r w:rsidR="00563CAE">
        <w:t xml:space="preserve"> w</w:t>
      </w:r>
      <w:r w:rsidR="00BD7531">
        <w:t>ere needed rather than an individual lead</w:t>
      </w:r>
      <w:r w:rsidR="00AC2B57">
        <w:t xml:space="preserve">. </w:t>
      </w:r>
      <w:r w:rsidR="00CA24F6">
        <w:t xml:space="preserve">TH reminded the group of the importance of having fishery managers: IFCAs, MMO and </w:t>
      </w:r>
      <w:r w:rsidR="000A159D">
        <w:t>D</w:t>
      </w:r>
      <w:r w:rsidR="00CA24F6">
        <w:t>efra in this workshop</w:t>
      </w:r>
      <w:r w:rsidR="00BD7531">
        <w:t xml:space="preserve">. </w:t>
      </w:r>
      <w:r w:rsidR="008E4B5D">
        <w:t>SC flagg</w:t>
      </w:r>
      <w:r w:rsidR="00BD7531">
        <w:t>ed</w:t>
      </w:r>
      <w:r w:rsidR="008E4B5D">
        <w:t xml:space="preserve"> the importance of industry members joining </w:t>
      </w:r>
      <w:r w:rsidR="000A159D">
        <w:t xml:space="preserve">as the managers may consider a harvest strategy that may not be feasible to fishermen. </w:t>
      </w:r>
      <w:r w:rsidR="00CA24F6">
        <w:t xml:space="preserve">BP, SC, RM </w:t>
      </w:r>
      <w:r w:rsidR="00530774">
        <w:t>all agreed to</w:t>
      </w:r>
      <w:r w:rsidR="00215861">
        <w:t xml:space="preserve"> join a harvest strategy</w:t>
      </w:r>
      <w:r w:rsidR="00BD7531">
        <w:t xml:space="preserve"> meeting and contribute</w:t>
      </w:r>
      <w:r w:rsidR="00CB4DC6">
        <w:t xml:space="preserve"> to </w:t>
      </w:r>
      <w:r w:rsidR="0018014D">
        <w:t>the</w:t>
      </w:r>
      <w:r w:rsidR="00944D68">
        <w:t xml:space="preserve"> document,</w:t>
      </w:r>
      <w:r w:rsidR="00215861">
        <w:t xml:space="preserve"> and </w:t>
      </w:r>
      <w:r>
        <w:t xml:space="preserve">CB </w:t>
      </w:r>
      <w:r w:rsidR="00AC2B57">
        <w:t xml:space="preserve">and CP </w:t>
      </w:r>
      <w:r>
        <w:t xml:space="preserve">offered to review the </w:t>
      </w:r>
      <w:r w:rsidR="00AC2B57">
        <w:t xml:space="preserve">harvest strategy once it </w:t>
      </w:r>
      <w:r w:rsidR="005A340E">
        <w:t xml:space="preserve">is drafted. </w:t>
      </w:r>
      <w:r w:rsidR="005F1530">
        <w:t>All agreed the Harvest Strategy needs group thought and to be agreeable for fishermen.</w:t>
      </w:r>
    </w:p>
    <w:p w14:paraId="6A5F7F8E" w14:textId="262008BE" w:rsidR="00AB7489" w:rsidRPr="00F331D7" w:rsidRDefault="00AB7489" w:rsidP="00AB7489">
      <w:pPr>
        <w:pStyle w:val="ActionsArisingTitle"/>
      </w:pPr>
      <w:r w:rsidRPr="00F331D7">
        <w:t>Actions from Item</w:t>
      </w:r>
      <w:r w:rsidR="006A0631">
        <w:t xml:space="preserve"> 4</w:t>
      </w:r>
      <w:r w:rsidRPr="00F331D7">
        <w:t>:</w:t>
      </w:r>
    </w:p>
    <w:p w14:paraId="6CAD592D" w14:textId="5CFECE57" w:rsidR="00AB7489" w:rsidRDefault="00470808" w:rsidP="00AB7489">
      <w:pPr>
        <w:pStyle w:val="ListParagraph"/>
        <w:numPr>
          <w:ilvl w:val="0"/>
          <w:numId w:val="1"/>
        </w:numPr>
      </w:pPr>
      <w:r>
        <w:t>M</w:t>
      </w:r>
      <w:r w:rsidR="00101113">
        <w:t>Y</w:t>
      </w:r>
      <w:r>
        <w:t xml:space="preserve"> to d</w:t>
      </w:r>
      <w:r w:rsidR="00AB7489">
        <w:t xml:space="preserve">raft up TCA impact on crab management </w:t>
      </w:r>
      <w:r w:rsidR="00F245C9">
        <w:t xml:space="preserve">and provide Secretariat a summary for the </w:t>
      </w:r>
      <w:proofErr w:type="gramStart"/>
      <w:r w:rsidR="00F245C9">
        <w:t>FMP</w:t>
      </w:r>
      <w:proofErr w:type="gramEnd"/>
    </w:p>
    <w:p w14:paraId="51431772" w14:textId="6BC18B9E" w:rsidR="00AB7489" w:rsidRDefault="00AB7489" w:rsidP="00AB7489">
      <w:pPr>
        <w:pStyle w:val="ListParagraph"/>
        <w:numPr>
          <w:ilvl w:val="0"/>
          <w:numId w:val="1"/>
        </w:numPr>
      </w:pPr>
      <w:r>
        <w:lastRenderedPageBreak/>
        <w:t>HH or RM to update group on progress made to assessment methodology for crab and lobster stocks at the next meeting</w:t>
      </w:r>
      <w:r w:rsidR="008A6E36">
        <w:t>.</w:t>
      </w:r>
    </w:p>
    <w:p w14:paraId="483C31B2" w14:textId="625A4B7B" w:rsidR="008506B8" w:rsidRDefault="008506B8" w:rsidP="006B6633">
      <w:pPr>
        <w:pStyle w:val="ListParagraph"/>
        <w:numPr>
          <w:ilvl w:val="0"/>
          <w:numId w:val="1"/>
        </w:numPr>
      </w:pPr>
      <w:r>
        <w:t>Secretariat to</w:t>
      </w:r>
      <w:r w:rsidR="00F50468">
        <w:t xml:space="preserve"> </w:t>
      </w:r>
      <w:r>
        <w:t xml:space="preserve">arrange </w:t>
      </w:r>
      <w:r w:rsidR="008F672B">
        <w:t xml:space="preserve">a </w:t>
      </w:r>
      <w:r w:rsidR="009B6D44">
        <w:t xml:space="preserve">harvest </w:t>
      </w:r>
      <w:r w:rsidR="008F672B">
        <w:t>strategy</w:t>
      </w:r>
      <w:r w:rsidR="009B6D44">
        <w:t xml:space="preserve"> </w:t>
      </w:r>
      <w:r w:rsidR="00844C12">
        <w:t xml:space="preserve">meeting </w:t>
      </w:r>
      <w:r w:rsidR="008F672B">
        <w:t xml:space="preserve">for </w:t>
      </w:r>
      <w:r w:rsidR="000515E8">
        <w:t xml:space="preserve">BP, RM, SC, </w:t>
      </w:r>
      <w:r w:rsidR="007C2263">
        <w:t>JB</w:t>
      </w:r>
      <w:r w:rsidR="00227713">
        <w:t>, CP</w:t>
      </w:r>
      <w:r w:rsidR="008F672B">
        <w:t xml:space="preserve"> </w:t>
      </w:r>
      <w:r w:rsidR="007C6C0D">
        <w:t>and TH</w:t>
      </w:r>
      <w:r w:rsidR="001802C1">
        <w:t>.</w:t>
      </w:r>
    </w:p>
    <w:p w14:paraId="6C52F350" w14:textId="454D22FF" w:rsidR="007649B9" w:rsidRDefault="007649B9" w:rsidP="00F42911"/>
    <w:p w14:paraId="33A43E13" w14:textId="527CF3BE" w:rsidR="00481F18" w:rsidRDefault="007649B9" w:rsidP="00F42911">
      <w:r w:rsidRPr="00481F18">
        <w:rPr>
          <w:rFonts w:ascii="Verdana" w:hAnsi="Verdana"/>
          <w:b/>
          <w:bCs/>
          <w:sz w:val="20"/>
          <w:szCs w:val="20"/>
        </w:rPr>
        <w:t xml:space="preserve">Agenda Item </w:t>
      </w:r>
      <w:r w:rsidR="00481F18" w:rsidRPr="00481F18">
        <w:rPr>
          <w:rFonts w:ascii="Verdana" w:hAnsi="Verdana"/>
          <w:b/>
          <w:bCs/>
          <w:sz w:val="20"/>
          <w:szCs w:val="20"/>
        </w:rPr>
        <w:t>5</w:t>
      </w:r>
      <w:r w:rsidRPr="00481F18">
        <w:rPr>
          <w:rFonts w:ascii="Verdana" w:hAnsi="Verdana"/>
          <w:b/>
          <w:bCs/>
          <w:sz w:val="20"/>
          <w:szCs w:val="20"/>
        </w:rPr>
        <w:t xml:space="preserve">: </w:t>
      </w:r>
      <w:r w:rsidR="00481F18" w:rsidRPr="00481F18">
        <w:rPr>
          <w:rFonts w:ascii="Verdana" w:hAnsi="Verdana"/>
          <w:b/>
          <w:bCs/>
          <w:sz w:val="20"/>
          <w:szCs w:val="20"/>
        </w:rPr>
        <w:t xml:space="preserve">Project UK FMP </w:t>
      </w:r>
    </w:p>
    <w:p w14:paraId="35D48CE4" w14:textId="5CCA55E6" w:rsidR="004770CF" w:rsidRDefault="007D6913" w:rsidP="00F42911">
      <w:r>
        <w:t xml:space="preserve">MS </w:t>
      </w:r>
      <w:r w:rsidR="00844C12">
        <w:t xml:space="preserve">updated </w:t>
      </w:r>
      <w:r>
        <w:t xml:space="preserve">the Steering Group </w:t>
      </w:r>
      <w:r w:rsidR="00E70371">
        <w:t xml:space="preserve">on the progress of the FIP’s </w:t>
      </w:r>
      <w:r w:rsidR="00844C12">
        <w:t>Fishery Management Plan (</w:t>
      </w:r>
      <w:r w:rsidR="00E70371">
        <w:t>FMP</w:t>
      </w:r>
      <w:r w:rsidR="00844C12">
        <w:t>)</w:t>
      </w:r>
      <w:r w:rsidR="00E70371">
        <w:t xml:space="preserve">. </w:t>
      </w:r>
      <w:r w:rsidR="00656B6F">
        <w:t xml:space="preserve">As the FIP </w:t>
      </w:r>
      <w:r w:rsidR="0000789C">
        <w:t xml:space="preserve">enters </w:t>
      </w:r>
      <w:r w:rsidR="00656B6F">
        <w:t xml:space="preserve">its final year </w:t>
      </w:r>
      <w:r w:rsidR="00324F8D">
        <w:t>it is important that the FMP</w:t>
      </w:r>
      <w:r w:rsidR="00583C85">
        <w:t xml:space="preserve"> contains all the work to date and relevant information needed by an assessor, should </w:t>
      </w:r>
      <w:r w:rsidR="0086503A">
        <w:t xml:space="preserve">a client group </w:t>
      </w:r>
      <w:r w:rsidR="00583C85">
        <w:t xml:space="preserve">wish to progress </w:t>
      </w:r>
      <w:r w:rsidR="0086503A">
        <w:t>the fishery in</w:t>
      </w:r>
      <w:r w:rsidR="00583C85">
        <w:t xml:space="preserve">to certification. </w:t>
      </w:r>
    </w:p>
    <w:p w14:paraId="16285EC1" w14:textId="7F8BD4D0" w:rsidR="004770CF" w:rsidRPr="00D80DF1" w:rsidRDefault="004770CF" w:rsidP="00F42911">
      <w:pPr>
        <w:rPr>
          <w:b/>
          <w:bCs/>
          <w:i/>
          <w:iCs/>
        </w:rPr>
      </w:pPr>
      <w:r w:rsidRPr="00D80DF1">
        <w:rPr>
          <w:b/>
          <w:bCs/>
          <w:i/>
          <w:iCs/>
        </w:rPr>
        <w:t>Section 1</w:t>
      </w:r>
      <w:r w:rsidR="00E745B0" w:rsidRPr="00D80DF1">
        <w:rPr>
          <w:b/>
          <w:bCs/>
          <w:i/>
          <w:iCs/>
        </w:rPr>
        <w:t>: Identification and Description of the Fishery</w:t>
      </w:r>
    </w:p>
    <w:p w14:paraId="2073F467" w14:textId="2607FE40" w:rsidR="000A247E" w:rsidRDefault="00E745B0" w:rsidP="00F42911">
      <w:r>
        <w:t xml:space="preserve">This section is well populated with information from the IFCAs and MMO </w:t>
      </w:r>
      <w:r w:rsidR="002E67F9">
        <w:t>but will need</w:t>
      </w:r>
      <w:r w:rsidR="00582526">
        <w:t xml:space="preserve"> </w:t>
      </w:r>
      <w:r w:rsidR="00765864">
        <w:t>reviewing</w:t>
      </w:r>
      <w:r w:rsidR="006C411F">
        <w:t xml:space="preserve">, </w:t>
      </w:r>
      <w:r w:rsidR="002E67F9">
        <w:t xml:space="preserve">as much of the data used in the text and graphs comes from 2018. MS </w:t>
      </w:r>
      <w:r w:rsidR="00272913">
        <w:t>will</w:t>
      </w:r>
      <w:r w:rsidR="002E67F9">
        <w:t xml:space="preserve"> follow up with those who had already contributed </w:t>
      </w:r>
      <w:r w:rsidR="00271B6D">
        <w:t>for</w:t>
      </w:r>
      <w:r w:rsidR="00272913">
        <w:t xml:space="preserve"> </w:t>
      </w:r>
      <w:r w:rsidR="002E67F9">
        <w:t>update</w:t>
      </w:r>
      <w:r w:rsidR="00271B6D">
        <w:t>s</w:t>
      </w:r>
      <w:r w:rsidR="002E67F9">
        <w:t xml:space="preserve"> </w:t>
      </w:r>
      <w:r w:rsidR="00A77B72">
        <w:t xml:space="preserve">and </w:t>
      </w:r>
      <w:r w:rsidR="00AD352E">
        <w:t xml:space="preserve">noted </w:t>
      </w:r>
      <w:r w:rsidR="00A77B72">
        <w:t>that this section will need consolidating.</w:t>
      </w:r>
    </w:p>
    <w:p w14:paraId="57436C15" w14:textId="6FB066A8" w:rsidR="003A7048" w:rsidRPr="00D80DF1" w:rsidRDefault="00A77B72" w:rsidP="003A7048">
      <w:pPr>
        <w:rPr>
          <w:b/>
          <w:bCs/>
          <w:i/>
          <w:iCs/>
        </w:rPr>
      </w:pPr>
      <w:r w:rsidRPr="00D80DF1">
        <w:rPr>
          <w:b/>
          <w:bCs/>
          <w:i/>
          <w:iCs/>
        </w:rPr>
        <w:t xml:space="preserve">Section 2: </w:t>
      </w:r>
      <w:r w:rsidR="003A7048" w:rsidRPr="00D80DF1">
        <w:rPr>
          <w:b/>
          <w:bCs/>
          <w:i/>
          <w:iCs/>
        </w:rPr>
        <w:t xml:space="preserve">Goals and Objectives </w:t>
      </w:r>
    </w:p>
    <w:p w14:paraId="5D5F24FA" w14:textId="6B6254E0" w:rsidR="00BB1E40" w:rsidRPr="007B477D" w:rsidRDefault="00B92F31" w:rsidP="003A7048">
      <w:r>
        <w:t xml:space="preserve">MJ </w:t>
      </w:r>
      <w:r w:rsidR="00871DC5">
        <w:t xml:space="preserve">confirmed </w:t>
      </w:r>
      <w:r>
        <w:t xml:space="preserve">Defra </w:t>
      </w:r>
      <w:r w:rsidR="00871DC5">
        <w:t xml:space="preserve">will </w:t>
      </w:r>
      <w:r w:rsidR="00F66209">
        <w:t xml:space="preserve">lead </w:t>
      </w:r>
      <w:r w:rsidR="00871DC5">
        <w:t xml:space="preserve">input to </w:t>
      </w:r>
      <w:r w:rsidR="00F66209">
        <w:t>this section.</w:t>
      </w:r>
    </w:p>
    <w:p w14:paraId="50963300" w14:textId="11AA925E" w:rsidR="003A7048" w:rsidRPr="00D80DF1" w:rsidRDefault="00F66209" w:rsidP="003A7048">
      <w:pPr>
        <w:rPr>
          <w:b/>
          <w:bCs/>
          <w:i/>
          <w:iCs/>
        </w:rPr>
      </w:pPr>
      <w:r w:rsidRPr="00D80DF1">
        <w:rPr>
          <w:b/>
          <w:bCs/>
          <w:i/>
          <w:iCs/>
        </w:rPr>
        <w:t xml:space="preserve">Section 3: </w:t>
      </w:r>
      <w:r w:rsidR="003A7048" w:rsidRPr="00D80DF1">
        <w:rPr>
          <w:b/>
          <w:bCs/>
          <w:i/>
          <w:iCs/>
        </w:rPr>
        <w:t xml:space="preserve">Fisheries Management Structure </w:t>
      </w:r>
    </w:p>
    <w:p w14:paraId="3623B734" w14:textId="385E8FB0" w:rsidR="00172D2D" w:rsidRDefault="00DA20E3" w:rsidP="003A7048">
      <w:r>
        <w:t xml:space="preserve">There </w:t>
      </w:r>
      <w:r w:rsidR="00222CBD">
        <w:t>was</w:t>
      </w:r>
      <w:r>
        <w:t xml:space="preserve"> a lot of information in this section from the IFCAs and MMO</w:t>
      </w:r>
      <w:r w:rsidR="00A53818">
        <w:t xml:space="preserve"> </w:t>
      </w:r>
      <w:r w:rsidR="00222CBD">
        <w:t xml:space="preserve">and it </w:t>
      </w:r>
      <w:r w:rsidR="00A53818">
        <w:t xml:space="preserve">will require </w:t>
      </w:r>
      <w:r w:rsidR="00A568DD">
        <w:t>review</w:t>
      </w:r>
      <w:r w:rsidR="00A53818">
        <w:t xml:space="preserve"> to reflect the changes to management of crab and lobster fisheries as a result of Brexit. </w:t>
      </w:r>
      <w:r w:rsidR="003E3E50">
        <w:t>S</w:t>
      </w:r>
      <w:r w:rsidR="00A53818">
        <w:t>ub-section 3.3. (</w:t>
      </w:r>
      <w:r w:rsidR="00A53818" w:rsidRPr="00A53818">
        <w:t>c</w:t>
      </w:r>
      <w:r w:rsidR="003A7048" w:rsidRPr="007B477D">
        <w:t xml:space="preserve">onsultation and </w:t>
      </w:r>
      <w:r w:rsidR="00A53818">
        <w:t>c</w:t>
      </w:r>
      <w:r w:rsidR="003A7048" w:rsidRPr="007B477D">
        <w:t xml:space="preserve">o-management </w:t>
      </w:r>
      <w:r w:rsidR="00A53818">
        <w:t>a</w:t>
      </w:r>
      <w:r w:rsidR="003A7048" w:rsidRPr="007B477D">
        <w:t>rrangements</w:t>
      </w:r>
      <w:r w:rsidR="00A53818">
        <w:t xml:space="preserve">) </w:t>
      </w:r>
      <w:r w:rsidR="003E3E50">
        <w:t>is</w:t>
      </w:r>
      <w:r w:rsidR="00172D2D">
        <w:t xml:space="preserve"> lacking information and </w:t>
      </w:r>
      <w:r w:rsidR="00851AB6">
        <w:t>MS will</w:t>
      </w:r>
      <w:r w:rsidR="00172D2D">
        <w:t xml:space="preserve"> follow up with MMO to update this section</w:t>
      </w:r>
      <w:r w:rsidR="000E53E5">
        <w:t>.</w:t>
      </w:r>
    </w:p>
    <w:p w14:paraId="0F241873" w14:textId="7D86D960" w:rsidR="003A7048" w:rsidRPr="00D80DF1" w:rsidRDefault="001E246A" w:rsidP="003A7048">
      <w:pPr>
        <w:rPr>
          <w:b/>
          <w:bCs/>
          <w:i/>
          <w:iCs/>
        </w:rPr>
      </w:pPr>
      <w:r w:rsidRPr="00D80DF1">
        <w:rPr>
          <w:b/>
          <w:bCs/>
          <w:i/>
          <w:iCs/>
        </w:rPr>
        <w:t xml:space="preserve">Section 4: </w:t>
      </w:r>
      <w:r w:rsidR="003A7048" w:rsidRPr="00D80DF1">
        <w:rPr>
          <w:b/>
          <w:bCs/>
          <w:i/>
          <w:iCs/>
        </w:rPr>
        <w:t xml:space="preserve">Harvest Strategy and Control Rules </w:t>
      </w:r>
    </w:p>
    <w:p w14:paraId="394E23D9" w14:textId="46D02CDE" w:rsidR="002E4944" w:rsidRPr="007B477D" w:rsidRDefault="00913B21" w:rsidP="003A7048">
      <w:r>
        <w:t xml:space="preserve">This section has </w:t>
      </w:r>
      <w:r w:rsidR="00FE148B">
        <w:t xml:space="preserve">some </w:t>
      </w:r>
      <w:r>
        <w:t xml:space="preserve">information from the MMO and </w:t>
      </w:r>
      <w:proofErr w:type="gramStart"/>
      <w:r>
        <w:t>IFCAs</w:t>
      </w:r>
      <w:proofErr w:type="gramEnd"/>
      <w:r>
        <w:t xml:space="preserve"> but </w:t>
      </w:r>
      <w:r w:rsidR="006678E4">
        <w:t>T</w:t>
      </w:r>
      <w:r w:rsidR="006844E8">
        <w:t xml:space="preserve">H noted that </w:t>
      </w:r>
      <w:r w:rsidR="00963750">
        <w:t>more is needed</w:t>
      </w:r>
      <w:r>
        <w:t xml:space="preserve">. As </w:t>
      </w:r>
      <w:r w:rsidR="007A3C79">
        <w:t xml:space="preserve">noted </w:t>
      </w:r>
      <w:r w:rsidR="00F96972">
        <w:t xml:space="preserve">in </w:t>
      </w:r>
      <w:r w:rsidR="007A3C79">
        <w:t>Item 4</w:t>
      </w:r>
      <w:r>
        <w:t xml:space="preserve">, </w:t>
      </w:r>
      <w:r w:rsidR="004E4C2B">
        <w:t>several members will develop the</w:t>
      </w:r>
      <w:r>
        <w:t xml:space="preserve"> harvest </w:t>
      </w:r>
      <w:r w:rsidR="005E704F">
        <w:t>strategy</w:t>
      </w:r>
      <w:r>
        <w:t xml:space="preserve"> </w:t>
      </w:r>
      <w:r w:rsidR="00091372">
        <w:t>and this section will be updated</w:t>
      </w:r>
      <w:r w:rsidR="005E704F">
        <w:t xml:space="preserve">. </w:t>
      </w:r>
    </w:p>
    <w:p w14:paraId="76CABE07" w14:textId="3EC44A1F" w:rsidR="003A7048" w:rsidRPr="00D80DF1" w:rsidRDefault="005E704F" w:rsidP="003A7048">
      <w:pPr>
        <w:rPr>
          <w:b/>
          <w:bCs/>
          <w:i/>
          <w:iCs/>
        </w:rPr>
      </w:pPr>
      <w:r w:rsidRPr="00D80DF1">
        <w:rPr>
          <w:b/>
          <w:bCs/>
          <w:i/>
          <w:iCs/>
        </w:rPr>
        <w:t xml:space="preserve">Section 5: </w:t>
      </w:r>
      <w:r w:rsidR="003A7048" w:rsidRPr="00D80DF1">
        <w:rPr>
          <w:b/>
          <w:bCs/>
          <w:i/>
          <w:iCs/>
        </w:rPr>
        <w:t xml:space="preserve">Ecosystem Management Strategies </w:t>
      </w:r>
    </w:p>
    <w:p w14:paraId="0B5C624E" w14:textId="44D66DD4" w:rsidR="00E476EA" w:rsidRDefault="009E283A" w:rsidP="003A7048">
      <w:r>
        <w:t xml:space="preserve">A lot of work had gone into this section and </w:t>
      </w:r>
      <w:r w:rsidR="00E476EA">
        <w:t xml:space="preserve">MS highlighted that it was now a case of summarising </w:t>
      </w:r>
      <w:r w:rsidR="00493D9E">
        <w:t xml:space="preserve">that </w:t>
      </w:r>
      <w:r w:rsidR="00E476EA">
        <w:t>work and inputting it into the FMP</w:t>
      </w:r>
      <w:r w:rsidR="009630A7">
        <w:t xml:space="preserve">. </w:t>
      </w:r>
      <w:proofErr w:type="spellStart"/>
      <w:r w:rsidR="00A37FA0">
        <w:t>GC</w:t>
      </w:r>
      <w:r w:rsidR="007B477D">
        <w:t>a</w:t>
      </w:r>
      <w:proofErr w:type="spellEnd"/>
      <w:r w:rsidR="00A37FA0">
        <w:t xml:space="preserve"> offered to insert a summary of his alternative measures </w:t>
      </w:r>
      <w:r w:rsidR="00493D9E">
        <w:t>report</w:t>
      </w:r>
      <w:r w:rsidR="00A37FA0">
        <w:t xml:space="preserve">. </w:t>
      </w:r>
      <w:r w:rsidR="00FF4150">
        <w:t>There is currently no</w:t>
      </w:r>
      <w:r w:rsidR="0044132E">
        <w:t xml:space="preserve"> </w:t>
      </w:r>
      <w:r w:rsidR="00E61074">
        <w:t xml:space="preserve">detail in </w:t>
      </w:r>
      <w:r w:rsidR="00714253">
        <w:t xml:space="preserve">the sub-sections on habitat and ecosystem, </w:t>
      </w:r>
      <w:r w:rsidR="002B6F67">
        <w:t xml:space="preserve">as the preassessment did not flag those performance indicators needing improvement. </w:t>
      </w:r>
      <w:r w:rsidR="006D0AE5">
        <w:t>However</w:t>
      </w:r>
      <w:r w:rsidR="002A48FC">
        <w:t>,</w:t>
      </w:r>
      <w:r w:rsidR="00CA0DBE">
        <w:t xml:space="preserve"> TH noted that</w:t>
      </w:r>
      <w:r w:rsidR="002A48FC">
        <w:t xml:space="preserve"> a Steering Group member </w:t>
      </w:r>
      <w:r w:rsidR="00CA0DBE">
        <w:t xml:space="preserve">will </w:t>
      </w:r>
      <w:r w:rsidR="002A48FC">
        <w:t xml:space="preserve">need to go through the preassessment and summarise </w:t>
      </w:r>
      <w:r w:rsidR="007B2DFA">
        <w:t xml:space="preserve">the findings for ecosystem and habitat and insert them into the FMP. </w:t>
      </w:r>
      <w:r w:rsidR="001E1253">
        <w:t xml:space="preserve">There were no volunteers for </w:t>
      </w:r>
      <w:proofErr w:type="gramStart"/>
      <w:r w:rsidR="001E1253">
        <w:t>this</w:t>
      </w:r>
      <w:proofErr w:type="gramEnd"/>
      <w:r w:rsidR="001E1253">
        <w:t xml:space="preserve"> and </w:t>
      </w:r>
      <w:r w:rsidR="007B2DFA">
        <w:t xml:space="preserve">MS said he would follow up to ascertain who could do this. </w:t>
      </w:r>
    </w:p>
    <w:p w14:paraId="5AE912F8" w14:textId="035B240D" w:rsidR="003A7048" w:rsidRPr="00D80DF1" w:rsidRDefault="007B2DFA" w:rsidP="003A7048">
      <w:pPr>
        <w:rPr>
          <w:b/>
          <w:bCs/>
          <w:i/>
          <w:iCs/>
        </w:rPr>
      </w:pPr>
      <w:r w:rsidRPr="00D80DF1">
        <w:rPr>
          <w:b/>
          <w:bCs/>
          <w:i/>
          <w:iCs/>
        </w:rPr>
        <w:t xml:space="preserve">Section 6: </w:t>
      </w:r>
      <w:r w:rsidR="003A7048" w:rsidRPr="00D80DF1">
        <w:rPr>
          <w:b/>
          <w:bCs/>
          <w:i/>
          <w:iCs/>
        </w:rPr>
        <w:t xml:space="preserve">Stock Assessment, Fishery Monitoring and Research </w:t>
      </w:r>
    </w:p>
    <w:p w14:paraId="5A82B540" w14:textId="0EA45BE3" w:rsidR="007B2DFA" w:rsidRPr="007B477D" w:rsidRDefault="00B239CE" w:rsidP="003A7048">
      <w:r>
        <w:t>T</w:t>
      </w:r>
      <w:r w:rsidR="00323AF8">
        <w:t xml:space="preserve">his section had been addressed through </w:t>
      </w:r>
      <w:r>
        <w:t xml:space="preserve">input from the </w:t>
      </w:r>
      <w:r w:rsidR="00323AF8">
        <w:t>IFCA</w:t>
      </w:r>
      <w:r w:rsidR="00D82623">
        <w:t>s</w:t>
      </w:r>
      <w:r w:rsidR="00323AF8">
        <w:t xml:space="preserve"> and Cefas</w:t>
      </w:r>
      <w:r w:rsidR="007B477D">
        <w:t xml:space="preserve">. </w:t>
      </w:r>
    </w:p>
    <w:p w14:paraId="3A899AD2" w14:textId="1E278C9C" w:rsidR="003A7048" w:rsidRPr="00D80DF1" w:rsidRDefault="00C01977" w:rsidP="003A7048">
      <w:pPr>
        <w:rPr>
          <w:b/>
          <w:bCs/>
          <w:i/>
          <w:iCs/>
        </w:rPr>
      </w:pPr>
      <w:r w:rsidRPr="00D80DF1">
        <w:rPr>
          <w:b/>
          <w:bCs/>
          <w:i/>
          <w:iCs/>
        </w:rPr>
        <w:t xml:space="preserve">Section 7: </w:t>
      </w:r>
      <w:r w:rsidR="003A7048" w:rsidRPr="00D80DF1">
        <w:rPr>
          <w:b/>
          <w:bCs/>
          <w:i/>
          <w:iCs/>
        </w:rPr>
        <w:t xml:space="preserve">Compliance and Monitoring </w:t>
      </w:r>
    </w:p>
    <w:p w14:paraId="6E4A0CD8" w14:textId="5265CD62" w:rsidR="00C01977" w:rsidRDefault="00C01977" w:rsidP="003A7048">
      <w:r>
        <w:t>MMO input had been extremely useful in this section</w:t>
      </w:r>
      <w:r w:rsidR="007649B9">
        <w:t>, with all the sub-section</w:t>
      </w:r>
      <w:r w:rsidR="0012771A">
        <w:t>s</w:t>
      </w:r>
      <w:r w:rsidR="007649B9">
        <w:t xml:space="preserve"> well populated </w:t>
      </w:r>
      <w:r w:rsidR="0012771A">
        <w:t>except for</w:t>
      </w:r>
      <w:r w:rsidR="007649B9">
        <w:t xml:space="preserve"> 7.3</w:t>
      </w:r>
      <w:r w:rsidR="00481F18">
        <w:t xml:space="preserve">: </w:t>
      </w:r>
      <w:r w:rsidR="007649B9">
        <w:t xml:space="preserve">planning. MS said he would follow up with MMO </w:t>
      </w:r>
      <w:r w:rsidR="00481F18">
        <w:t>to get more information on this sub-section.</w:t>
      </w:r>
    </w:p>
    <w:p w14:paraId="63313E1E" w14:textId="77777777" w:rsidR="001802C1" w:rsidRDefault="001802C1" w:rsidP="003A7048">
      <w:pPr>
        <w:rPr>
          <w:b/>
          <w:bCs/>
          <w:i/>
          <w:iCs/>
        </w:rPr>
      </w:pPr>
    </w:p>
    <w:p w14:paraId="76E970C1" w14:textId="77777777" w:rsidR="001802C1" w:rsidRDefault="001802C1" w:rsidP="003A7048">
      <w:pPr>
        <w:rPr>
          <w:b/>
          <w:bCs/>
          <w:i/>
          <w:iCs/>
        </w:rPr>
      </w:pPr>
    </w:p>
    <w:p w14:paraId="4C054540" w14:textId="61D30165" w:rsidR="003A7048" w:rsidRPr="00D80DF1" w:rsidRDefault="008B1F8A" w:rsidP="003A7048">
      <w:pPr>
        <w:rPr>
          <w:b/>
          <w:bCs/>
          <w:i/>
          <w:iCs/>
        </w:rPr>
      </w:pPr>
      <w:r w:rsidRPr="00A87F87">
        <w:rPr>
          <w:b/>
          <w:bCs/>
          <w:i/>
          <w:iCs/>
        </w:rPr>
        <w:lastRenderedPageBreak/>
        <w:t xml:space="preserve">Section 8: </w:t>
      </w:r>
      <w:r w:rsidR="003A7048" w:rsidRPr="00A87F87">
        <w:rPr>
          <w:b/>
          <w:bCs/>
          <w:i/>
          <w:iCs/>
        </w:rPr>
        <w:t xml:space="preserve">Fishery Performance </w:t>
      </w:r>
      <w:r w:rsidR="003A7048" w:rsidRPr="00D80DF1">
        <w:rPr>
          <w:b/>
          <w:bCs/>
          <w:i/>
          <w:iCs/>
        </w:rPr>
        <w:t xml:space="preserve">Evaluation </w:t>
      </w:r>
    </w:p>
    <w:p w14:paraId="2BD103F1" w14:textId="2685121A" w:rsidR="008B1F8A" w:rsidRPr="00AB7489" w:rsidRDefault="00AB7489" w:rsidP="003A7048">
      <w:r>
        <w:t xml:space="preserve">This section relates to monitoring the performance of the FIP, using the </w:t>
      </w:r>
      <w:r w:rsidR="00D14F0D">
        <w:t>benchmarking and tracking (</w:t>
      </w:r>
      <w:r>
        <w:t>BMT</w:t>
      </w:r>
      <w:r w:rsidR="00D14F0D">
        <w:t>) tool</w:t>
      </w:r>
      <w:r>
        <w:t>. If the FIP were to progress to certification section 8 would outline the conditions in the fishery. TH agreed to add to this section after the annual review in April.</w:t>
      </w:r>
    </w:p>
    <w:p w14:paraId="15056BE4" w14:textId="72DFF43D" w:rsidR="003A7048" w:rsidRPr="00D80DF1" w:rsidRDefault="00AB7489" w:rsidP="003A7048">
      <w:pPr>
        <w:rPr>
          <w:b/>
          <w:bCs/>
          <w:i/>
          <w:iCs/>
        </w:rPr>
      </w:pPr>
      <w:r w:rsidRPr="00D80DF1">
        <w:rPr>
          <w:b/>
          <w:bCs/>
          <w:i/>
          <w:iCs/>
        </w:rPr>
        <w:t xml:space="preserve">Section 9: </w:t>
      </w:r>
      <w:r w:rsidR="003A7048" w:rsidRPr="00D80DF1">
        <w:rPr>
          <w:b/>
          <w:bCs/>
          <w:i/>
          <w:iCs/>
        </w:rPr>
        <w:t>Resources required to implement the Plan</w:t>
      </w:r>
    </w:p>
    <w:p w14:paraId="14A9CC90" w14:textId="2994D311" w:rsidR="00AB7489" w:rsidRPr="00AB7489" w:rsidRDefault="00AB7489" w:rsidP="003A7048">
      <w:r>
        <w:t xml:space="preserve">This section </w:t>
      </w:r>
      <w:r w:rsidR="000574B0">
        <w:t>would be completed if/when</w:t>
      </w:r>
      <w:r>
        <w:t xml:space="preserve"> a client group </w:t>
      </w:r>
      <w:r w:rsidR="000574B0">
        <w:t>is formed</w:t>
      </w:r>
      <w:r>
        <w:t>.</w:t>
      </w:r>
      <w:r w:rsidR="00577260">
        <w:t xml:space="preserve"> They</w:t>
      </w:r>
      <w:r>
        <w:t xml:space="preserve"> would outline the human and </w:t>
      </w:r>
      <w:r w:rsidR="00051F67">
        <w:t>financial</w:t>
      </w:r>
      <w:r>
        <w:t xml:space="preserve"> </w:t>
      </w:r>
      <w:r w:rsidR="00051F67">
        <w:t xml:space="preserve">resources </w:t>
      </w:r>
      <w:r>
        <w:t xml:space="preserve">required to deliver and upkeep the </w:t>
      </w:r>
      <w:r w:rsidR="00D82623">
        <w:t>FMP</w:t>
      </w:r>
      <w:r>
        <w:t xml:space="preserve">. </w:t>
      </w:r>
    </w:p>
    <w:p w14:paraId="72A25D26" w14:textId="53F4189F" w:rsidR="00845ABC" w:rsidRPr="00F331D7" w:rsidRDefault="00845ABC" w:rsidP="00845ABC">
      <w:pPr>
        <w:pStyle w:val="ActionsArisingTitle"/>
      </w:pPr>
      <w:r w:rsidRPr="00F331D7">
        <w:t>Actions from Item</w:t>
      </w:r>
      <w:r w:rsidR="00B404A1">
        <w:t xml:space="preserve"> 5</w:t>
      </w:r>
      <w:r w:rsidRPr="00F331D7">
        <w:t>:</w:t>
      </w:r>
    </w:p>
    <w:p w14:paraId="488313A3" w14:textId="11AEF3D2" w:rsidR="00E17850" w:rsidRDefault="00E17850" w:rsidP="00E17850">
      <w:pPr>
        <w:pStyle w:val="ListParagraph"/>
        <w:numPr>
          <w:ilvl w:val="0"/>
          <w:numId w:val="10"/>
        </w:numPr>
      </w:pPr>
      <w:proofErr w:type="spellStart"/>
      <w:r>
        <w:t>GCa</w:t>
      </w:r>
      <w:proofErr w:type="spellEnd"/>
      <w:r>
        <w:t xml:space="preserve"> to summarise the alternative measures report and insert it into the FMP.</w:t>
      </w:r>
    </w:p>
    <w:p w14:paraId="168E459C" w14:textId="77777777" w:rsidR="00E17850" w:rsidRDefault="00E17850" w:rsidP="00E17850">
      <w:pPr>
        <w:pStyle w:val="ListParagraph"/>
        <w:numPr>
          <w:ilvl w:val="0"/>
          <w:numId w:val="10"/>
        </w:numPr>
      </w:pPr>
      <w:r>
        <w:t>MS to:</w:t>
      </w:r>
    </w:p>
    <w:p w14:paraId="02257308" w14:textId="77777777" w:rsidR="00E17850" w:rsidRDefault="00E17850" w:rsidP="00E17850">
      <w:pPr>
        <w:pStyle w:val="ListParagraph"/>
        <w:numPr>
          <w:ilvl w:val="1"/>
          <w:numId w:val="10"/>
        </w:numPr>
      </w:pPr>
      <w:r>
        <w:t>follow up with MMO and IFCAs around providing updated information to section 1 and finding a Steering group member to consolidate the information already in the FMP.</w:t>
      </w:r>
    </w:p>
    <w:p w14:paraId="7CD378B6" w14:textId="7E5E0D2E" w:rsidR="00A26EED" w:rsidRDefault="00E17850" w:rsidP="00BB0625">
      <w:pPr>
        <w:pStyle w:val="ListParagraph"/>
        <w:numPr>
          <w:ilvl w:val="1"/>
          <w:numId w:val="10"/>
        </w:numPr>
      </w:pPr>
      <w:r>
        <w:t xml:space="preserve">follow up with MMO to get more information on sub-section 3.3 </w:t>
      </w:r>
      <w:r w:rsidR="00667B1C">
        <w:t xml:space="preserve">and 7.3 for the FMP. </w:t>
      </w:r>
    </w:p>
    <w:p w14:paraId="0CAFC6AA" w14:textId="0CFE21D7" w:rsidR="00E17850" w:rsidRDefault="00E17850" w:rsidP="006B6633">
      <w:pPr>
        <w:pStyle w:val="ListParagraph"/>
        <w:numPr>
          <w:ilvl w:val="0"/>
          <w:numId w:val="10"/>
        </w:numPr>
      </w:pPr>
      <w:r>
        <w:t>Steering Group</w:t>
      </w:r>
      <w:r w:rsidR="00A26EED">
        <w:t xml:space="preserve"> members to consider summarising the habitats and ecosystem section of the preassessment to inset into FMP when contacted by the </w:t>
      </w:r>
      <w:r w:rsidR="0028033E">
        <w:t>Secretariat.</w:t>
      </w:r>
    </w:p>
    <w:p w14:paraId="34DC7773" w14:textId="77777777" w:rsidR="00E17850" w:rsidRDefault="00E17850" w:rsidP="00E17850"/>
    <w:p w14:paraId="415B7CFF" w14:textId="73FF3B4F" w:rsidR="00EC0E9E" w:rsidRDefault="00A628C4" w:rsidP="00EC0E9E">
      <w:pPr>
        <w:pStyle w:val="TItleofAgendaItem"/>
      </w:pPr>
      <w:r>
        <w:t>Any Other Business</w:t>
      </w:r>
    </w:p>
    <w:p w14:paraId="50D6182E" w14:textId="46B6A4BE" w:rsidR="00A628C4" w:rsidRPr="00A628C4" w:rsidRDefault="00E01F9B" w:rsidP="00A628C4">
      <w:r>
        <w:t xml:space="preserve">Due to the number of Project UK meetings, the </w:t>
      </w:r>
      <w:r w:rsidR="00CB789F">
        <w:t xml:space="preserve">draft </w:t>
      </w:r>
      <w:r>
        <w:t xml:space="preserve">minutes may </w:t>
      </w:r>
      <w:r w:rsidR="008634AD">
        <w:t xml:space="preserve">be circulated </w:t>
      </w:r>
      <w:r>
        <w:t>to the group</w:t>
      </w:r>
      <w:r w:rsidR="004A7E11">
        <w:t xml:space="preserve"> beyond the </w:t>
      </w:r>
      <w:r w:rsidR="000E53E5">
        <w:t>two-week</w:t>
      </w:r>
      <w:r w:rsidR="004A7E11">
        <w:t xml:space="preserve"> </w:t>
      </w:r>
      <w:proofErr w:type="gramStart"/>
      <w:r w:rsidR="004A7E11">
        <w:t>deadline</w:t>
      </w:r>
      <w:proofErr w:type="gramEnd"/>
      <w:r w:rsidR="004A7E11">
        <w:t xml:space="preserve"> </w:t>
      </w:r>
      <w:r w:rsidR="00D80DF1">
        <w:t xml:space="preserve">but the Secretariat would endeavour to have them available as soon as possible. </w:t>
      </w:r>
    </w:p>
    <w:p w14:paraId="220DBF1B" w14:textId="01CB0C46" w:rsidR="00AE7B5C" w:rsidRDefault="00EC0E9E" w:rsidP="00EC0E9E">
      <w:pPr>
        <w:pStyle w:val="TItleofAgendaItem"/>
      </w:pPr>
      <w:r>
        <w:t>Meeting Closes</w:t>
      </w:r>
    </w:p>
    <w:p w14:paraId="65A28E19" w14:textId="3D7E0605" w:rsidR="0052026B" w:rsidRPr="0052026B" w:rsidRDefault="00E01F9B" w:rsidP="0052026B">
      <w:r>
        <w:t>12.00hr</w:t>
      </w:r>
    </w:p>
    <w:tbl>
      <w:tblPr>
        <w:tblStyle w:val="TableGrid"/>
        <w:tblpPr w:leftFromText="180" w:rightFromText="180" w:vertAnchor="text" w:horzAnchor="margin" w:tblpY="11"/>
        <w:tblW w:w="4721" w:type="pct"/>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6371"/>
        <w:gridCol w:w="2142"/>
      </w:tblGrid>
      <w:tr w:rsidR="00074070" w:rsidRPr="00A85A75" w14:paraId="187FE218" w14:textId="77777777" w:rsidTr="00074070">
        <w:tc>
          <w:tcPr>
            <w:tcW w:w="3742" w:type="pct"/>
            <w:shd w:val="clear" w:color="auto" w:fill="1B98C7"/>
          </w:tcPr>
          <w:p w14:paraId="2874DE47" w14:textId="77777777" w:rsidR="00074070" w:rsidRPr="00A85A75" w:rsidRDefault="00074070" w:rsidP="00074070">
            <w:pPr>
              <w:pStyle w:val="TableHeading"/>
              <w:spacing w:before="120" w:after="120"/>
            </w:pPr>
            <w:r w:rsidRPr="00A85A75">
              <w:t xml:space="preserve">Actions </w:t>
            </w:r>
            <w:r>
              <w:t>Arising</w:t>
            </w:r>
          </w:p>
        </w:tc>
        <w:tc>
          <w:tcPr>
            <w:tcW w:w="1258" w:type="pct"/>
            <w:shd w:val="clear" w:color="auto" w:fill="1B98C7"/>
          </w:tcPr>
          <w:p w14:paraId="26800656" w14:textId="77777777" w:rsidR="00074070" w:rsidRPr="00A85A75" w:rsidRDefault="00074070" w:rsidP="00074070">
            <w:pPr>
              <w:pStyle w:val="TableHeading"/>
              <w:spacing w:before="120" w:after="120"/>
            </w:pPr>
            <w:r w:rsidRPr="00A85A75">
              <w:t>Responsibility</w:t>
            </w:r>
          </w:p>
        </w:tc>
      </w:tr>
      <w:tr w:rsidR="00074070" w14:paraId="18091091" w14:textId="77777777" w:rsidTr="00074070">
        <w:tc>
          <w:tcPr>
            <w:tcW w:w="3742" w:type="pct"/>
          </w:tcPr>
          <w:p w14:paraId="7D1165D1" w14:textId="77777777" w:rsidR="00074070" w:rsidRPr="00E01F9B" w:rsidRDefault="00074070" w:rsidP="00074070">
            <w:pPr>
              <w:pStyle w:val="TableText"/>
              <w:rPr>
                <w:b/>
                <w:bCs/>
                <w:sz w:val="22"/>
                <w:szCs w:val="22"/>
              </w:rPr>
            </w:pPr>
            <w:r w:rsidRPr="00E01F9B">
              <w:rPr>
                <w:b/>
                <w:bCs/>
                <w:sz w:val="22"/>
                <w:szCs w:val="22"/>
              </w:rPr>
              <w:t>Agenda Item 1: MSC certification process</w:t>
            </w:r>
          </w:p>
          <w:p w14:paraId="1F7BFE7C" w14:textId="77777777" w:rsidR="00074070" w:rsidRPr="00A048AE" w:rsidRDefault="00074070" w:rsidP="00074070">
            <w:pPr>
              <w:pStyle w:val="TableText"/>
              <w:numPr>
                <w:ilvl w:val="0"/>
                <w:numId w:val="8"/>
              </w:numPr>
            </w:pPr>
            <w:r w:rsidRPr="0028033E">
              <w:t>Secretariat to facilitate conversation with Steering Group to start client group process but will not participate in discussions other than to provide information about the process.</w:t>
            </w:r>
          </w:p>
        </w:tc>
        <w:tc>
          <w:tcPr>
            <w:tcW w:w="1258" w:type="pct"/>
          </w:tcPr>
          <w:p w14:paraId="72DEA2C0" w14:textId="77777777" w:rsidR="00074070" w:rsidRDefault="00074070" w:rsidP="00074070">
            <w:pPr>
              <w:pStyle w:val="TableText"/>
            </w:pPr>
          </w:p>
          <w:p w14:paraId="6216996F" w14:textId="77777777" w:rsidR="00074070" w:rsidRPr="00A41BC7" w:rsidRDefault="00074070" w:rsidP="00074070">
            <w:pPr>
              <w:pStyle w:val="TableText"/>
              <w:jc w:val="center"/>
              <w:rPr>
                <w:b/>
                <w:bCs/>
              </w:rPr>
            </w:pPr>
            <w:r>
              <w:rPr>
                <w:b/>
                <w:bCs/>
              </w:rPr>
              <w:t xml:space="preserve">Secretariat </w:t>
            </w:r>
          </w:p>
        </w:tc>
      </w:tr>
      <w:tr w:rsidR="00074070" w14:paraId="57B599A3" w14:textId="77777777" w:rsidTr="00074070">
        <w:tc>
          <w:tcPr>
            <w:tcW w:w="3742" w:type="pct"/>
          </w:tcPr>
          <w:p w14:paraId="2ECD4AF7" w14:textId="77777777" w:rsidR="00074070" w:rsidRPr="00E01F9B" w:rsidRDefault="00074070" w:rsidP="00074070">
            <w:pPr>
              <w:pStyle w:val="TableText"/>
              <w:rPr>
                <w:b/>
                <w:bCs/>
                <w:sz w:val="22"/>
                <w:szCs w:val="22"/>
              </w:rPr>
            </w:pPr>
            <w:r w:rsidRPr="00E01F9B">
              <w:rPr>
                <w:b/>
                <w:bCs/>
                <w:sz w:val="22"/>
                <w:szCs w:val="22"/>
              </w:rPr>
              <w:t>Agenda Item 3: Defra FMP update</w:t>
            </w:r>
          </w:p>
          <w:p w14:paraId="14C1B9BA" w14:textId="77777777" w:rsidR="00074070" w:rsidRPr="00431996" w:rsidRDefault="00074070" w:rsidP="00074070">
            <w:pPr>
              <w:pStyle w:val="ListParagraph"/>
              <w:numPr>
                <w:ilvl w:val="0"/>
                <w:numId w:val="8"/>
              </w:numPr>
              <w:rPr>
                <w:sz w:val="20"/>
                <w:szCs w:val="20"/>
              </w:rPr>
            </w:pPr>
            <w:r w:rsidRPr="00431996">
              <w:rPr>
                <w:sz w:val="20"/>
                <w:szCs w:val="20"/>
              </w:rPr>
              <w:t xml:space="preserve">Defra to provide the Secretariat with wording for section 2 (governance) of the Project UK crab and lobster FMP. </w:t>
            </w:r>
          </w:p>
        </w:tc>
        <w:tc>
          <w:tcPr>
            <w:tcW w:w="1258" w:type="pct"/>
          </w:tcPr>
          <w:p w14:paraId="66FEDFCC" w14:textId="77777777" w:rsidR="00074070" w:rsidRDefault="00074070" w:rsidP="00074070">
            <w:pPr>
              <w:pStyle w:val="TableText"/>
            </w:pPr>
          </w:p>
          <w:p w14:paraId="5ADC7D09" w14:textId="77777777" w:rsidR="00074070" w:rsidRPr="00A41BC7" w:rsidRDefault="00074070" w:rsidP="00074070">
            <w:pPr>
              <w:pStyle w:val="TableText"/>
              <w:jc w:val="center"/>
              <w:rPr>
                <w:b/>
                <w:bCs/>
              </w:rPr>
            </w:pPr>
            <w:r>
              <w:rPr>
                <w:b/>
                <w:bCs/>
              </w:rPr>
              <w:t>MJ</w:t>
            </w:r>
          </w:p>
        </w:tc>
      </w:tr>
      <w:tr w:rsidR="00074070" w14:paraId="7EA07C3C" w14:textId="77777777" w:rsidTr="00074070">
        <w:tc>
          <w:tcPr>
            <w:tcW w:w="3742" w:type="pct"/>
          </w:tcPr>
          <w:p w14:paraId="6CD3D41C" w14:textId="77777777" w:rsidR="00074070" w:rsidRPr="00E01F9B" w:rsidRDefault="00074070" w:rsidP="00074070">
            <w:pPr>
              <w:pStyle w:val="TableText"/>
              <w:rPr>
                <w:b/>
                <w:bCs/>
                <w:sz w:val="22"/>
                <w:szCs w:val="22"/>
              </w:rPr>
            </w:pPr>
            <w:r w:rsidRPr="00E01F9B">
              <w:rPr>
                <w:b/>
                <w:bCs/>
                <w:sz w:val="22"/>
                <w:szCs w:val="22"/>
              </w:rPr>
              <w:t xml:space="preserve">Agenda Item 4: Harvest Strategy and Harvest Control Rules  </w:t>
            </w:r>
          </w:p>
          <w:p w14:paraId="157D2478" w14:textId="77777777" w:rsidR="00074070" w:rsidRDefault="00074070" w:rsidP="00074070">
            <w:pPr>
              <w:pStyle w:val="TableText"/>
              <w:numPr>
                <w:ilvl w:val="0"/>
                <w:numId w:val="8"/>
              </w:numPr>
            </w:pPr>
            <w:r>
              <w:t xml:space="preserve">MY to draft up TCA impact on crab management and provide Secretariat a summary for the </w:t>
            </w:r>
            <w:proofErr w:type="gramStart"/>
            <w:r>
              <w:t>FMP</w:t>
            </w:r>
            <w:proofErr w:type="gramEnd"/>
          </w:p>
          <w:p w14:paraId="7CECD174" w14:textId="77777777" w:rsidR="00074070" w:rsidRDefault="00074070" w:rsidP="00074070">
            <w:pPr>
              <w:pStyle w:val="TableText"/>
              <w:numPr>
                <w:ilvl w:val="0"/>
                <w:numId w:val="8"/>
              </w:numPr>
            </w:pPr>
            <w:r>
              <w:t>HH or RM to update group on progress made to assessment methodology for crab and lobster stocks at the next meeting.</w:t>
            </w:r>
          </w:p>
          <w:p w14:paraId="242C4262" w14:textId="77777777" w:rsidR="00074070" w:rsidRPr="00A048AE" w:rsidRDefault="00074070" w:rsidP="00074070">
            <w:pPr>
              <w:pStyle w:val="TableText"/>
              <w:numPr>
                <w:ilvl w:val="0"/>
                <w:numId w:val="8"/>
              </w:numPr>
            </w:pPr>
            <w:r>
              <w:t>Secretariat to arrange a harvest strategy meeting for BP, RM, SC, JB, CP and TH.</w:t>
            </w:r>
          </w:p>
        </w:tc>
        <w:tc>
          <w:tcPr>
            <w:tcW w:w="1258" w:type="pct"/>
          </w:tcPr>
          <w:p w14:paraId="50FB6B2A" w14:textId="77777777" w:rsidR="00074070" w:rsidRDefault="00074070" w:rsidP="00074070">
            <w:pPr>
              <w:pStyle w:val="TableText"/>
            </w:pPr>
          </w:p>
          <w:p w14:paraId="584B019F" w14:textId="77777777" w:rsidR="00074070" w:rsidRDefault="00074070" w:rsidP="00074070">
            <w:pPr>
              <w:pStyle w:val="TableText"/>
              <w:jc w:val="center"/>
              <w:rPr>
                <w:b/>
                <w:bCs/>
              </w:rPr>
            </w:pPr>
            <w:r>
              <w:rPr>
                <w:b/>
                <w:bCs/>
              </w:rPr>
              <w:t>MY</w:t>
            </w:r>
          </w:p>
          <w:p w14:paraId="508A2905" w14:textId="77777777" w:rsidR="00074070" w:rsidRDefault="00074070" w:rsidP="00074070">
            <w:pPr>
              <w:pStyle w:val="TableText"/>
              <w:jc w:val="center"/>
              <w:rPr>
                <w:b/>
                <w:bCs/>
              </w:rPr>
            </w:pPr>
          </w:p>
          <w:p w14:paraId="5F54931C" w14:textId="77777777" w:rsidR="00074070" w:rsidRDefault="00074070" w:rsidP="00074070">
            <w:pPr>
              <w:pStyle w:val="TableText"/>
              <w:jc w:val="center"/>
              <w:rPr>
                <w:b/>
                <w:bCs/>
              </w:rPr>
            </w:pPr>
            <w:r>
              <w:rPr>
                <w:b/>
                <w:bCs/>
              </w:rPr>
              <w:t>HH and RM</w:t>
            </w:r>
          </w:p>
          <w:p w14:paraId="4A9C8166" w14:textId="77777777" w:rsidR="00074070" w:rsidRDefault="00074070" w:rsidP="00074070">
            <w:pPr>
              <w:pStyle w:val="TableText"/>
              <w:jc w:val="center"/>
              <w:rPr>
                <w:b/>
                <w:bCs/>
              </w:rPr>
            </w:pPr>
          </w:p>
          <w:p w14:paraId="711CF2EE" w14:textId="77777777" w:rsidR="00074070" w:rsidRPr="00A41BC7" w:rsidRDefault="00074070" w:rsidP="00074070">
            <w:pPr>
              <w:pStyle w:val="TableText"/>
              <w:jc w:val="center"/>
              <w:rPr>
                <w:b/>
                <w:bCs/>
              </w:rPr>
            </w:pPr>
            <w:r>
              <w:rPr>
                <w:b/>
                <w:bCs/>
              </w:rPr>
              <w:t>Secretariat</w:t>
            </w:r>
          </w:p>
        </w:tc>
      </w:tr>
      <w:tr w:rsidR="00074070" w14:paraId="5A882347" w14:textId="77777777" w:rsidTr="00074070">
        <w:tc>
          <w:tcPr>
            <w:tcW w:w="3742" w:type="pct"/>
          </w:tcPr>
          <w:p w14:paraId="41ED38FE" w14:textId="77777777" w:rsidR="00074070" w:rsidRDefault="00074070" w:rsidP="00074070">
            <w:pPr>
              <w:spacing w:after="0"/>
              <w:rPr>
                <w:rFonts w:asciiTheme="majorHAnsi" w:hAnsiTheme="majorHAnsi" w:cstheme="majorHAnsi"/>
                <w:b/>
                <w:bCs/>
              </w:rPr>
            </w:pPr>
            <w:r w:rsidRPr="004E11FC">
              <w:rPr>
                <w:rFonts w:asciiTheme="majorHAnsi" w:hAnsiTheme="majorHAnsi" w:cstheme="majorHAnsi"/>
                <w:b/>
                <w:bCs/>
              </w:rPr>
              <w:t xml:space="preserve">Agenda Item 5: Project UK FMP run </w:t>
            </w:r>
            <w:proofErr w:type="gramStart"/>
            <w:r w:rsidRPr="004E11FC">
              <w:rPr>
                <w:rFonts w:asciiTheme="majorHAnsi" w:hAnsiTheme="majorHAnsi" w:cstheme="majorHAnsi"/>
                <w:b/>
                <w:bCs/>
              </w:rPr>
              <w:t>through</w:t>
            </w:r>
            <w:proofErr w:type="gramEnd"/>
            <w:r w:rsidRPr="004E11FC">
              <w:rPr>
                <w:rFonts w:asciiTheme="majorHAnsi" w:hAnsiTheme="majorHAnsi" w:cstheme="majorHAnsi"/>
                <w:b/>
                <w:bCs/>
              </w:rPr>
              <w:t xml:space="preserve"> </w:t>
            </w:r>
          </w:p>
          <w:p w14:paraId="1ED8CFF1" w14:textId="160A576C" w:rsidR="00074070" w:rsidRPr="00074070" w:rsidRDefault="00074070" w:rsidP="00074070">
            <w:pPr>
              <w:pStyle w:val="ListParagraph"/>
              <w:numPr>
                <w:ilvl w:val="0"/>
                <w:numId w:val="13"/>
              </w:numPr>
              <w:spacing w:after="0"/>
              <w:rPr>
                <w:rFonts w:asciiTheme="majorHAnsi" w:hAnsiTheme="majorHAnsi" w:cstheme="majorHAnsi"/>
              </w:rPr>
            </w:pPr>
            <w:proofErr w:type="spellStart"/>
            <w:r w:rsidRPr="00074070">
              <w:rPr>
                <w:sz w:val="20"/>
                <w:szCs w:val="20"/>
              </w:rPr>
              <w:t>GCa</w:t>
            </w:r>
            <w:proofErr w:type="spellEnd"/>
            <w:r w:rsidRPr="00074070">
              <w:rPr>
                <w:sz w:val="20"/>
                <w:szCs w:val="20"/>
              </w:rPr>
              <w:t xml:space="preserve"> to summarise the alternative measures report and insert it into the FMP.</w:t>
            </w:r>
          </w:p>
          <w:p w14:paraId="3F815569" w14:textId="77777777" w:rsidR="00BB0625" w:rsidRPr="00BB0625" w:rsidRDefault="00BB0625" w:rsidP="00BB0625">
            <w:pPr>
              <w:pStyle w:val="ListParagraph"/>
              <w:numPr>
                <w:ilvl w:val="0"/>
                <w:numId w:val="11"/>
              </w:numPr>
              <w:spacing w:after="0"/>
              <w:rPr>
                <w:sz w:val="20"/>
                <w:szCs w:val="20"/>
              </w:rPr>
            </w:pPr>
            <w:r w:rsidRPr="00BB0625">
              <w:rPr>
                <w:sz w:val="20"/>
                <w:szCs w:val="20"/>
              </w:rPr>
              <w:lastRenderedPageBreak/>
              <w:t>MS to:</w:t>
            </w:r>
          </w:p>
          <w:p w14:paraId="5FB680A6" w14:textId="77777777" w:rsidR="00BB0625" w:rsidRPr="00BB0625" w:rsidRDefault="00BB0625" w:rsidP="00BB0625">
            <w:pPr>
              <w:pStyle w:val="ListParagraph"/>
              <w:numPr>
                <w:ilvl w:val="1"/>
                <w:numId w:val="11"/>
              </w:numPr>
              <w:spacing w:after="0"/>
              <w:rPr>
                <w:sz w:val="20"/>
                <w:szCs w:val="20"/>
              </w:rPr>
            </w:pPr>
            <w:r w:rsidRPr="00BB0625">
              <w:rPr>
                <w:sz w:val="20"/>
                <w:szCs w:val="20"/>
              </w:rPr>
              <w:t>follow up with MMO and IFCAs around providing updated information to section 1 and finding a Steering group member to consolidate the information already in the FMP.</w:t>
            </w:r>
          </w:p>
          <w:p w14:paraId="77724288" w14:textId="77777777" w:rsidR="00BB0625" w:rsidRPr="00BB0625" w:rsidRDefault="00BB0625" w:rsidP="00BB0625">
            <w:pPr>
              <w:pStyle w:val="ListParagraph"/>
              <w:numPr>
                <w:ilvl w:val="1"/>
                <w:numId w:val="11"/>
              </w:numPr>
              <w:spacing w:after="0"/>
              <w:rPr>
                <w:sz w:val="20"/>
                <w:szCs w:val="20"/>
              </w:rPr>
            </w:pPr>
            <w:r w:rsidRPr="00BB0625">
              <w:rPr>
                <w:sz w:val="20"/>
                <w:szCs w:val="20"/>
              </w:rPr>
              <w:t xml:space="preserve">follow up with MMO to get more information on sub-section 3.3 and 7.3 for the FMP. </w:t>
            </w:r>
          </w:p>
          <w:p w14:paraId="0E255AB9" w14:textId="0576ED3D" w:rsidR="00074070" w:rsidRPr="00BB0625" w:rsidRDefault="00BB0625" w:rsidP="00BB0625">
            <w:pPr>
              <w:pStyle w:val="ListParagraph"/>
              <w:numPr>
                <w:ilvl w:val="0"/>
                <w:numId w:val="11"/>
              </w:numPr>
              <w:spacing w:after="0"/>
              <w:rPr>
                <w:sz w:val="20"/>
                <w:szCs w:val="20"/>
              </w:rPr>
            </w:pPr>
            <w:r w:rsidRPr="00BB0625">
              <w:rPr>
                <w:sz w:val="20"/>
                <w:szCs w:val="20"/>
              </w:rPr>
              <w:t xml:space="preserve">Steering Group members to consider summarising the habitats and ecosystem section of the preassessment to inset into FMP when contacted by the </w:t>
            </w:r>
            <w:r>
              <w:rPr>
                <w:sz w:val="20"/>
                <w:szCs w:val="20"/>
              </w:rPr>
              <w:t>S</w:t>
            </w:r>
            <w:r w:rsidRPr="00BB0625">
              <w:rPr>
                <w:sz w:val="20"/>
                <w:szCs w:val="20"/>
              </w:rPr>
              <w:t>ecretariat</w:t>
            </w:r>
            <w:r>
              <w:rPr>
                <w:sz w:val="20"/>
                <w:szCs w:val="20"/>
              </w:rPr>
              <w:t>.</w:t>
            </w:r>
          </w:p>
        </w:tc>
        <w:tc>
          <w:tcPr>
            <w:tcW w:w="1258" w:type="pct"/>
          </w:tcPr>
          <w:p w14:paraId="4A163696" w14:textId="77777777" w:rsidR="00074070" w:rsidRDefault="00074070" w:rsidP="00074070">
            <w:pPr>
              <w:pStyle w:val="TableText"/>
              <w:jc w:val="center"/>
              <w:rPr>
                <w:b/>
                <w:bCs/>
              </w:rPr>
            </w:pPr>
          </w:p>
          <w:p w14:paraId="36788D52" w14:textId="77777777" w:rsidR="00074070" w:rsidRDefault="00074070" w:rsidP="00074070">
            <w:pPr>
              <w:pStyle w:val="TableText"/>
              <w:jc w:val="center"/>
              <w:rPr>
                <w:b/>
                <w:bCs/>
              </w:rPr>
            </w:pPr>
          </w:p>
          <w:p w14:paraId="5138E7FE" w14:textId="177D2170" w:rsidR="00074070" w:rsidRDefault="00074070" w:rsidP="00074070">
            <w:pPr>
              <w:pStyle w:val="TableText"/>
              <w:jc w:val="center"/>
              <w:rPr>
                <w:b/>
                <w:bCs/>
              </w:rPr>
            </w:pPr>
            <w:proofErr w:type="spellStart"/>
            <w:r>
              <w:rPr>
                <w:b/>
                <w:bCs/>
              </w:rPr>
              <w:t>GCa</w:t>
            </w:r>
            <w:proofErr w:type="spellEnd"/>
          </w:p>
          <w:p w14:paraId="0F28CA67" w14:textId="77777777" w:rsidR="00074070" w:rsidRDefault="00074070" w:rsidP="00074070">
            <w:pPr>
              <w:pStyle w:val="TableText"/>
              <w:rPr>
                <w:b/>
                <w:bCs/>
              </w:rPr>
            </w:pPr>
          </w:p>
          <w:p w14:paraId="1854E60A" w14:textId="77777777" w:rsidR="00074070" w:rsidRDefault="00074070" w:rsidP="00074070">
            <w:pPr>
              <w:pStyle w:val="TableText"/>
              <w:jc w:val="center"/>
              <w:rPr>
                <w:b/>
                <w:bCs/>
              </w:rPr>
            </w:pPr>
            <w:r>
              <w:rPr>
                <w:b/>
                <w:bCs/>
              </w:rPr>
              <w:t>MS</w:t>
            </w:r>
          </w:p>
          <w:p w14:paraId="6E81327C" w14:textId="77777777" w:rsidR="00BB0625" w:rsidRDefault="00BB0625" w:rsidP="00074070">
            <w:pPr>
              <w:pStyle w:val="TableText"/>
              <w:jc w:val="center"/>
              <w:rPr>
                <w:b/>
                <w:bCs/>
              </w:rPr>
            </w:pPr>
          </w:p>
          <w:p w14:paraId="1966A7A8" w14:textId="77777777" w:rsidR="00BB0625" w:rsidRDefault="00BB0625" w:rsidP="00074070">
            <w:pPr>
              <w:pStyle w:val="TableText"/>
              <w:jc w:val="center"/>
              <w:rPr>
                <w:b/>
                <w:bCs/>
              </w:rPr>
            </w:pPr>
          </w:p>
          <w:p w14:paraId="6D962E69" w14:textId="77777777" w:rsidR="00BB0625" w:rsidRDefault="00BB0625" w:rsidP="00074070">
            <w:pPr>
              <w:pStyle w:val="TableText"/>
              <w:jc w:val="center"/>
              <w:rPr>
                <w:b/>
                <w:bCs/>
              </w:rPr>
            </w:pPr>
          </w:p>
          <w:p w14:paraId="726CF371" w14:textId="77777777" w:rsidR="00BB0625" w:rsidRDefault="00BB0625" w:rsidP="00074070">
            <w:pPr>
              <w:pStyle w:val="TableText"/>
              <w:jc w:val="center"/>
              <w:rPr>
                <w:b/>
                <w:bCs/>
              </w:rPr>
            </w:pPr>
          </w:p>
          <w:p w14:paraId="79B894EA" w14:textId="77777777" w:rsidR="00BB0625" w:rsidRDefault="00BB0625" w:rsidP="00074070">
            <w:pPr>
              <w:pStyle w:val="TableText"/>
              <w:jc w:val="center"/>
              <w:rPr>
                <w:b/>
                <w:bCs/>
              </w:rPr>
            </w:pPr>
          </w:p>
          <w:p w14:paraId="2AE97DB4" w14:textId="3D16E6C4" w:rsidR="00BB0625" w:rsidRPr="004E11FC" w:rsidRDefault="00BB0625" w:rsidP="00074070">
            <w:pPr>
              <w:pStyle w:val="TableText"/>
              <w:jc w:val="center"/>
              <w:rPr>
                <w:b/>
                <w:bCs/>
              </w:rPr>
            </w:pPr>
            <w:r>
              <w:rPr>
                <w:b/>
                <w:bCs/>
              </w:rPr>
              <w:t>Steering Group</w:t>
            </w:r>
          </w:p>
        </w:tc>
      </w:tr>
    </w:tbl>
    <w:p w14:paraId="02D9D6AA" w14:textId="77777777" w:rsidR="00A628C4" w:rsidRPr="00A628C4" w:rsidRDefault="00A628C4" w:rsidP="00A628C4"/>
    <w:p w14:paraId="7C3E4312" w14:textId="75DDA577" w:rsidR="00DC5316" w:rsidRDefault="00DC5316" w:rsidP="00120C87">
      <w:pPr>
        <w:tabs>
          <w:tab w:val="left" w:pos="3670"/>
        </w:tabs>
      </w:pPr>
    </w:p>
    <w:p w14:paraId="5321CB4D" w14:textId="52813997" w:rsidR="0028033E" w:rsidRDefault="0028033E" w:rsidP="00120C87">
      <w:pPr>
        <w:tabs>
          <w:tab w:val="left" w:pos="3670"/>
        </w:tabs>
      </w:pPr>
    </w:p>
    <w:p w14:paraId="428B2FEB" w14:textId="77777777" w:rsidR="0028033E" w:rsidRPr="00120C87" w:rsidRDefault="0028033E" w:rsidP="00120C87">
      <w:pPr>
        <w:tabs>
          <w:tab w:val="left" w:pos="3670"/>
        </w:tabs>
      </w:pPr>
    </w:p>
    <w:sectPr w:rsidR="0028033E" w:rsidRPr="00120C87" w:rsidSect="009E261D">
      <w:headerReference w:type="even" r:id="rId13"/>
      <w:headerReference w:type="default" r:id="rId14"/>
      <w:footerReference w:type="default" r:id="rId15"/>
      <w:headerReference w:type="first" r:id="rId16"/>
      <w:footerReference w:type="first" r:id="rId17"/>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4086" w14:textId="77777777" w:rsidR="00422A6C" w:rsidRDefault="00422A6C" w:rsidP="00F42911">
      <w:r>
        <w:separator/>
      </w:r>
    </w:p>
    <w:p w14:paraId="6630327D" w14:textId="77777777" w:rsidR="00422A6C" w:rsidRDefault="00422A6C" w:rsidP="00F42911"/>
    <w:p w14:paraId="620DCF22" w14:textId="77777777" w:rsidR="00422A6C" w:rsidRDefault="00422A6C" w:rsidP="00F42911"/>
    <w:p w14:paraId="46D03081" w14:textId="77777777" w:rsidR="00422A6C" w:rsidRDefault="00422A6C" w:rsidP="00F42911"/>
  </w:endnote>
  <w:endnote w:type="continuationSeparator" w:id="0">
    <w:p w14:paraId="5ACE62D6" w14:textId="77777777" w:rsidR="00422A6C" w:rsidRDefault="00422A6C" w:rsidP="00F42911">
      <w:r>
        <w:continuationSeparator/>
      </w:r>
    </w:p>
    <w:p w14:paraId="3AB28C2D" w14:textId="77777777" w:rsidR="00422A6C" w:rsidRDefault="00422A6C" w:rsidP="00F42911"/>
    <w:p w14:paraId="6EB86B6B" w14:textId="77777777" w:rsidR="00422A6C" w:rsidRDefault="00422A6C" w:rsidP="00F42911"/>
    <w:p w14:paraId="33FDD63E" w14:textId="77777777" w:rsidR="00422A6C" w:rsidRDefault="00422A6C" w:rsidP="00F42911"/>
  </w:endnote>
  <w:endnote w:type="continuationNotice" w:id="1">
    <w:p w14:paraId="1C3F38B0" w14:textId="77777777" w:rsidR="00422A6C" w:rsidRDefault="00422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55319831" w:rsidR="00FB1413" w:rsidRPr="00FB1413" w:rsidRDefault="00A628C4" w:rsidP="00FB1413">
    <w:pPr>
      <w:pStyle w:val="Footer"/>
      <w:framePr w:wrap="auto" w:vAnchor="margin" w:yAlign="inline"/>
    </w:pPr>
    <w:r>
      <w:rPr>
        <w:noProof/>
      </w:rPr>
      <w:drawing>
        <wp:anchor distT="0" distB="0" distL="114300" distR="114300" simplePos="0" relativeHeight="251658244"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58247"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8243"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8242"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967BFD">
      <w:t>1</w:t>
    </w:r>
    <w:r w:rsidR="009A017A">
      <w:t>9 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8246"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824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F1C6" w14:textId="77777777" w:rsidR="00422A6C" w:rsidRDefault="00422A6C" w:rsidP="00F42911">
      <w:r>
        <w:separator/>
      </w:r>
    </w:p>
    <w:p w14:paraId="1762EBA9" w14:textId="77777777" w:rsidR="00422A6C" w:rsidRDefault="00422A6C" w:rsidP="00F42911"/>
    <w:p w14:paraId="48F764BF" w14:textId="77777777" w:rsidR="00422A6C" w:rsidRDefault="00422A6C" w:rsidP="00F42911"/>
    <w:p w14:paraId="55E0CF9F" w14:textId="77777777" w:rsidR="00422A6C" w:rsidRDefault="00422A6C" w:rsidP="00F42911"/>
  </w:footnote>
  <w:footnote w:type="continuationSeparator" w:id="0">
    <w:p w14:paraId="43ECBDEA" w14:textId="77777777" w:rsidR="00422A6C" w:rsidRDefault="00422A6C" w:rsidP="00F42911">
      <w:r>
        <w:continuationSeparator/>
      </w:r>
    </w:p>
    <w:p w14:paraId="6C3E9438" w14:textId="77777777" w:rsidR="00422A6C" w:rsidRDefault="00422A6C" w:rsidP="00F42911"/>
    <w:p w14:paraId="37C91CDC" w14:textId="77777777" w:rsidR="00422A6C" w:rsidRDefault="00422A6C" w:rsidP="00F42911"/>
    <w:p w14:paraId="3964E8C8" w14:textId="77777777" w:rsidR="00422A6C" w:rsidRDefault="00422A6C" w:rsidP="00F42911"/>
  </w:footnote>
  <w:footnote w:type="continuationNotice" w:id="1">
    <w:p w14:paraId="7BF1F097" w14:textId="77777777" w:rsidR="00422A6C" w:rsidRDefault="00422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2436" w14:textId="7AA42D88" w:rsidR="00A90F12" w:rsidRDefault="00A90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0773BC43" w:rsidR="00FB1413" w:rsidRDefault="00310493">
    <w:pPr>
      <w:pStyle w:val="Header"/>
    </w:pPr>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8241"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5"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62FC0DA4" w:rsidR="00DB5CF2" w:rsidRDefault="00A628C4">
    <w:pPr>
      <w:pStyle w:val="Header"/>
      <w:rPr>
        <w:noProof/>
      </w:rPr>
    </w:pPr>
    <w:r w:rsidRPr="00653BCC">
      <w:rPr>
        <w:noProof/>
        <w:color w:val="1B98C7"/>
      </w:rPr>
      <w:drawing>
        <wp:anchor distT="0" distB="0" distL="114300" distR="114300" simplePos="0" relativeHeight="251658248"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07D"/>
    <w:multiLevelType w:val="hybridMultilevel"/>
    <w:tmpl w:val="D2A46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F696E"/>
    <w:multiLevelType w:val="hybridMultilevel"/>
    <w:tmpl w:val="ED4E8D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AD0A99"/>
    <w:multiLevelType w:val="hybridMultilevel"/>
    <w:tmpl w:val="73C00B6C"/>
    <w:lvl w:ilvl="0" w:tplc="C2C0E1B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03C28"/>
    <w:multiLevelType w:val="hybridMultilevel"/>
    <w:tmpl w:val="136A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D693C"/>
    <w:multiLevelType w:val="hybridMultilevel"/>
    <w:tmpl w:val="40821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F3683"/>
    <w:multiLevelType w:val="hybridMultilevel"/>
    <w:tmpl w:val="EEB4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8442B"/>
    <w:multiLevelType w:val="hybridMultilevel"/>
    <w:tmpl w:val="D02CB5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C56A61"/>
    <w:multiLevelType w:val="hybridMultilevel"/>
    <w:tmpl w:val="99DE8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539C5"/>
    <w:multiLevelType w:val="hybridMultilevel"/>
    <w:tmpl w:val="BD08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46D3E"/>
    <w:multiLevelType w:val="hybridMultilevel"/>
    <w:tmpl w:val="FDCC2380"/>
    <w:lvl w:ilvl="0" w:tplc="3ECEEF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E91D87"/>
    <w:multiLevelType w:val="hybridMultilevel"/>
    <w:tmpl w:val="4BB280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4D2F46"/>
    <w:multiLevelType w:val="hybridMultilevel"/>
    <w:tmpl w:val="B0088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C19AE"/>
    <w:multiLevelType w:val="hybridMultilevel"/>
    <w:tmpl w:val="04267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
  </w:num>
  <w:num w:numId="6">
    <w:abstractNumId w:val="11"/>
  </w:num>
  <w:num w:numId="7">
    <w:abstractNumId w:val="12"/>
  </w:num>
  <w:num w:numId="8">
    <w:abstractNumId w:val="8"/>
  </w:num>
  <w:num w:numId="9">
    <w:abstractNumId w:val="2"/>
  </w:num>
  <w:num w:numId="10">
    <w:abstractNumId w:val="4"/>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15CB"/>
    <w:rsid w:val="0000468C"/>
    <w:rsid w:val="00005735"/>
    <w:rsid w:val="0000789C"/>
    <w:rsid w:val="0001209A"/>
    <w:rsid w:val="000137B9"/>
    <w:rsid w:val="00015237"/>
    <w:rsid w:val="00015971"/>
    <w:rsid w:val="00015B06"/>
    <w:rsid w:val="00022DCE"/>
    <w:rsid w:val="00030266"/>
    <w:rsid w:val="00030398"/>
    <w:rsid w:val="0003085A"/>
    <w:rsid w:val="00031291"/>
    <w:rsid w:val="000338B8"/>
    <w:rsid w:val="000338D9"/>
    <w:rsid w:val="00034EF6"/>
    <w:rsid w:val="000377E0"/>
    <w:rsid w:val="00041580"/>
    <w:rsid w:val="00042D74"/>
    <w:rsid w:val="0004631C"/>
    <w:rsid w:val="0004750E"/>
    <w:rsid w:val="000515E8"/>
    <w:rsid w:val="00051F67"/>
    <w:rsid w:val="00052875"/>
    <w:rsid w:val="0005322A"/>
    <w:rsid w:val="000553CE"/>
    <w:rsid w:val="000554FD"/>
    <w:rsid w:val="000571C1"/>
    <w:rsid w:val="000574B0"/>
    <w:rsid w:val="0006021D"/>
    <w:rsid w:val="00060863"/>
    <w:rsid w:val="0006355C"/>
    <w:rsid w:val="000671B4"/>
    <w:rsid w:val="00067BBC"/>
    <w:rsid w:val="000725E0"/>
    <w:rsid w:val="00072E4B"/>
    <w:rsid w:val="000731E0"/>
    <w:rsid w:val="00074070"/>
    <w:rsid w:val="00074B12"/>
    <w:rsid w:val="00074C60"/>
    <w:rsid w:val="00074CC6"/>
    <w:rsid w:val="00075995"/>
    <w:rsid w:val="00080709"/>
    <w:rsid w:val="0008076B"/>
    <w:rsid w:val="00081A02"/>
    <w:rsid w:val="000829C8"/>
    <w:rsid w:val="000831DB"/>
    <w:rsid w:val="00083AC4"/>
    <w:rsid w:val="00084AB0"/>
    <w:rsid w:val="00085861"/>
    <w:rsid w:val="0008604A"/>
    <w:rsid w:val="00091372"/>
    <w:rsid w:val="0009140D"/>
    <w:rsid w:val="0009410F"/>
    <w:rsid w:val="0009416A"/>
    <w:rsid w:val="00094F86"/>
    <w:rsid w:val="00096DCB"/>
    <w:rsid w:val="000A0B2F"/>
    <w:rsid w:val="000A12D2"/>
    <w:rsid w:val="000A159D"/>
    <w:rsid w:val="000A247E"/>
    <w:rsid w:val="000A4085"/>
    <w:rsid w:val="000A7CC0"/>
    <w:rsid w:val="000B2402"/>
    <w:rsid w:val="000B261A"/>
    <w:rsid w:val="000B2D6F"/>
    <w:rsid w:val="000B6E23"/>
    <w:rsid w:val="000C437C"/>
    <w:rsid w:val="000D1AB5"/>
    <w:rsid w:val="000D3AFE"/>
    <w:rsid w:val="000D4339"/>
    <w:rsid w:val="000D55EE"/>
    <w:rsid w:val="000E13AC"/>
    <w:rsid w:val="000E3AC3"/>
    <w:rsid w:val="000E53E5"/>
    <w:rsid w:val="000E6341"/>
    <w:rsid w:val="000E7435"/>
    <w:rsid w:val="000E74B9"/>
    <w:rsid w:val="000F2F73"/>
    <w:rsid w:val="00100858"/>
    <w:rsid w:val="00100FAC"/>
    <w:rsid w:val="00101113"/>
    <w:rsid w:val="00101D47"/>
    <w:rsid w:val="0010476B"/>
    <w:rsid w:val="001059B4"/>
    <w:rsid w:val="00107B95"/>
    <w:rsid w:val="00111DD2"/>
    <w:rsid w:val="001130E2"/>
    <w:rsid w:val="001137A4"/>
    <w:rsid w:val="00113FA1"/>
    <w:rsid w:val="001143F5"/>
    <w:rsid w:val="0011692A"/>
    <w:rsid w:val="00120C87"/>
    <w:rsid w:val="0012138A"/>
    <w:rsid w:val="0012192F"/>
    <w:rsid w:val="00121E90"/>
    <w:rsid w:val="0012324B"/>
    <w:rsid w:val="00123CDE"/>
    <w:rsid w:val="0012771A"/>
    <w:rsid w:val="00127B11"/>
    <w:rsid w:val="00130D49"/>
    <w:rsid w:val="00132A89"/>
    <w:rsid w:val="00133111"/>
    <w:rsid w:val="00133726"/>
    <w:rsid w:val="0013751E"/>
    <w:rsid w:val="00142C82"/>
    <w:rsid w:val="00142E5C"/>
    <w:rsid w:val="00146720"/>
    <w:rsid w:val="001475FC"/>
    <w:rsid w:val="001526D0"/>
    <w:rsid w:val="00154682"/>
    <w:rsid w:val="00154B86"/>
    <w:rsid w:val="00154D58"/>
    <w:rsid w:val="001619D3"/>
    <w:rsid w:val="00161A16"/>
    <w:rsid w:val="0016346D"/>
    <w:rsid w:val="00167616"/>
    <w:rsid w:val="0017001B"/>
    <w:rsid w:val="00172D2D"/>
    <w:rsid w:val="00173A8D"/>
    <w:rsid w:val="00174108"/>
    <w:rsid w:val="0017492D"/>
    <w:rsid w:val="0017656A"/>
    <w:rsid w:val="0018014D"/>
    <w:rsid w:val="001802C1"/>
    <w:rsid w:val="00182C78"/>
    <w:rsid w:val="00184014"/>
    <w:rsid w:val="00185B81"/>
    <w:rsid w:val="00186480"/>
    <w:rsid w:val="001906C1"/>
    <w:rsid w:val="0019242E"/>
    <w:rsid w:val="001952C7"/>
    <w:rsid w:val="001A1232"/>
    <w:rsid w:val="001A3B3F"/>
    <w:rsid w:val="001A77A7"/>
    <w:rsid w:val="001B0D13"/>
    <w:rsid w:val="001B2CD1"/>
    <w:rsid w:val="001B4121"/>
    <w:rsid w:val="001B62AD"/>
    <w:rsid w:val="001B72C4"/>
    <w:rsid w:val="001C0407"/>
    <w:rsid w:val="001C04FB"/>
    <w:rsid w:val="001C3349"/>
    <w:rsid w:val="001C5250"/>
    <w:rsid w:val="001D0C8D"/>
    <w:rsid w:val="001D109A"/>
    <w:rsid w:val="001D373A"/>
    <w:rsid w:val="001D4CD6"/>
    <w:rsid w:val="001E1253"/>
    <w:rsid w:val="001E1EDF"/>
    <w:rsid w:val="001E246A"/>
    <w:rsid w:val="001E5161"/>
    <w:rsid w:val="001F3BAD"/>
    <w:rsid w:val="001F5169"/>
    <w:rsid w:val="001F72EE"/>
    <w:rsid w:val="001F76C9"/>
    <w:rsid w:val="00200D10"/>
    <w:rsid w:val="00201338"/>
    <w:rsid w:val="00202B12"/>
    <w:rsid w:val="002033F4"/>
    <w:rsid w:val="00204090"/>
    <w:rsid w:val="002041F1"/>
    <w:rsid w:val="00205568"/>
    <w:rsid w:val="0020585A"/>
    <w:rsid w:val="0020682D"/>
    <w:rsid w:val="00210231"/>
    <w:rsid w:val="00210E81"/>
    <w:rsid w:val="002140B1"/>
    <w:rsid w:val="00215861"/>
    <w:rsid w:val="00217C51"/>
    <w:rsid w:val="00217EDE"/>
    <w:rsid w:val="00220CE8"/>
    <w:rsid w:val="00221083"/>
    <w:rsid w:val="0022200D"/>
    <w:rsid w:val="0022272C"/>
    <w:rsid w:val="00222CBD"/>
    <w:rsid w:val="0022467C"/>
    <w:rsid w:val="00227045"/>
    <w:rsid w:val="00227713"/>
    <w:rsid w:val="00232BD3"/>
    <w:rsid w:val="00232F9F"/>
    <w:rsid w:val="00234B3D"/>
    <w:rsid w:val="00241ED2"/>
    <w:rsid w:val="00243758"/>
    <w:rsid w:val="00245C53"/>
    <w:rsid w:val="002503D0"/>
    <w:rsid w:val="00250BC6"/>
    <w:rsid w:val="00251004"/>
    <w:rsid w:val="00251AE3"/>
    <w:rsid w:val="00251C32"/>
    <w:rsid w:val="00252BF4"/>
    <w:rsid w:val="0025451A"/>
    <w:rsid w:val="00256BB6"/>
    <w:rsid w:val="00257AB2"/>
    <w:rsid w:val="00261811"/>
    <w:rsid w:val="00262773"/>
    <w:rsid w:val="0026297F"/>
    <w:rsid w:val="002637AD"/>
    <w:rsid w:val="00266F05"/>
    <w:rsid w:val="00271B6D"/>
    <w:rsid w:val="00271C03"/>
    <w:rsid w:val="00272913"/>
    <w:rsid w:val="00273671"/>
    <w:rsid w:val="0027559D"/>
    <w:rsid w:val="00275FED"/>
    <w:rsid w:val="002768DF"/>
    <w:rsid w:val="002768FA"/>
    <w:rsid w:val="00277A5A"/>
    <w:rsid w:val="0028033E"/>
    <w:rsid w:val="002803A8"/>
    <w:rsid w:val="002817E3"/>
    <w:rsid w:val="0028233F"/>
    <w:rsid w:val="00283F2E"/>
    <w:rsid w:val="002852B8"/>
    <w:rsid w:val="00286CC0"/>
    <w:rsid w:val="002906F8"/>
    <w:rsid w:val="00291072"/>
    <w:rsid w:val="00296DAC"/>
    <w:rsid w:val="002A17E4"/>
    <w:rsid w:val="002A17F7"/>
    <w:rsid w:val="002A2B6B"/>
    <w:rsid w:val="002A3DAC"/>
    <w:rsid w:val="002A48FC"/>
    <w:rsid w:val="002A4B07"/>
    <w:rsid w:val="002A5745"/>
    <w:rsid w:val="002A6C0E"/>
    <w:rsid w:val="002A6DE4"/>
    <w:rsid w:val="002A71EB"/>
    <w:rsid w:val="002B63D5"/>
    <w:rsid w:val="002B6F67"/>
    <w:rsid w:val="002B7D54"/>
    <w:rsid w:val="002C0F2B"/>
    <w:rsid w:val="002C1CE1"/>
    <w:rsid w:val="002C1E12"/>
    <w:rsid w:val="002C28C1"/>
    <w:rsid w:val="002C7370"/>
    <w:rsid w:val="002C7BE6"/>
    <w:rsid w:val="002D0A9C"/>
    <w:rsid w:val="002D1DAE"/>
    <w:rsid w:val="002D5E41"/>
    <w:rsid w:val="002E133D"/>
    <w:rsid w:val="002E27FB"/>
    <w:rsid w:val="002E4944"/>
    <w:rsid w:val="002E53AA"/>
    <w:rsid w:val="002E57D2"/>
    <w:rsid w:val="002E67F9"/>
    <w:rsid w:val="002F00C3"/>
    <w:rsid w:val="002F0C5B"/>
    <w:rsid w:val="002F48F2"/>
    <w:rsid w:val="002F5CD9"/>
    <w:rsid w:val="002F6822"/>
    <w:rsid w:val="00301DEC"/>
    <w:rsid w:val="0030242B"/>
    <w:rsid w:val="00302B21"/>
    <w:rsid w:val="003037A2"/>
    <w:rsid w:val="00305E4D"/>
    <w:rsid w:val="00307416"/>
    <w:rsid w:val="00310493"/>
    <w:rsid w:val="003109B5"/>
    <w:rsid w:val="00311634"/>
    <w:rsid w:val="003121C2"/>
    <w:rsid w:val="00315813"/>
    <w:rsid w:val="00317552"/>
    <w:rsid w:val="0032064F"/>
    <w:rsid w:val="00320FC7"/>
    <w:rsid w:val="00323AF8"/>
    <w:rsid w:val="00324F8D"/>
    <w:rsid w:val="003267AC"/>
    <w:rsid w:val="00330D97"/>
    <w:rsid w:val="00330FCA"/>
    <w:rsid w:val="003310AC"/>
    <w:rsid w:val="00331F6B"/>
    <w:rsid w:val="0033210A"/>
    <w:rsid w:val="00337255"/>
    <w:rsid w:val="003414C2"/>
    <w:rsid w:val="00341749"/>
    <w:rsid w:val="0034199C"/>
    <w:rsid w:val="00341E6C"/>
    <w:rsid w:val="0034467F"/>
    <w:rsid w:val="0034532E"/>
    <w:rsid w:val="00345EDA"/>
    <w:rsid w:val="00346C50"/>
    <w:rsid w:val="003478E4"/>
    <w:rsid w:val="00347FAB"/>
    <w:rsid w:val="00350834"/>
    <w:rsid w:val="0035535D"/>
    <w:rsid w:val="00356DAC"/>
    <w:rsid w:val="00360CEC"/>
    <w:rsid w:val="00363B1F"/>
    <w:rsid w:val="00365208"/>
    <w:rsid w:val="003663D7"/>
    <w:rsid w:val="00366747"/>
    <w:rsid w:val="00367C82"/>
    <w:rsid w:val="00372688"/>
    <w:rsid w:val="00373CD6"/>
    <w:rsid w:val="00374DF9"/>
    <w:rsid w:val="00382635"/>
    <w:rsid w:val="00383FDF"/>
    <w:rsid w:val="0038584D"/>
    <w:rsid w:val="00391810"/>
    <w:rsid w:val="00392A91"/>
    <w:rsid w:val="00395330"/>
    <w:rsid w:val="003953F4"/>
    <w:rsid w:val="003956AE"/>
    <w:rsid w:val="00396D93"/>
    <w:rsid w:val="00397666"/>
    <w:rsid w:val="003A086F"/>
    <w:rsid w:val="003A0E5B"/>
    <w:rsid w:val="003A42C6"/>
    <w:rsid w:val="003A6DBC"/>
    <w:rsid w:val="003A7048"/>
    <w:rsid w:val="003A7174"/>
    <w:rsid w:val="003A792F"/>
    <w:rsid w:val="003B0C87"/>
    <w:rsid w:val="003B106D"/>
    <w:rsid w:val="003B1FB0"/>
    <w:rsid w:val="003B388B"/>
    <w:rsid w:val="003B5807"/>
    <w:rsid w:val="003B729D"/>
    <w:rsid w:val="003B75B4"/>
    <w:rsid w:val="003B7EF3"/>
    <w:rsid w:val="003C2445"/>
    <w:rsid w:val="003C4056"/>
    <w:rsid w:val="003C4457"/>
    <w:rsid w:val="003C4B8B"/>
    <w:rsid w:val="003D0761"/>
    <w:rsid w:val="003D1A3B"/>
    <w:rsid w:val="003D228D"/>
    <w:rsid w:val="003D3252"/>
    <w:rsid w:val="003D34EE"/>
    <w:rsid w:val="003D3AC8"/>
    <w:rsid w:val="003D4507"/>
    <w:rsid w:val="003E14E8"/>
    <w:rsid w:val="003E17FB"/>
    <w:rsid w:val="003E3243"/>
    <w:rsid w:val="003E33CC"/>
    <w:rsid w:val="003E36E4"/>
    <w:rsid w:val="003E3E50"/>
    <w:rsid w:val="003E54E8"/>
    <w:rsid w:val="003E6A53"/>
    <w:rsid w:val="003F0DCA"/>
    <w:rsid w:val="003F2750"/>
    <w:rsid w:val="003F607E"/>
    <w:rsid w:val="003F6877"/>
    <w:rsid w:val="003F6BB7"/>
    <w:rsid w:val="003F76EC"/>
    <w:rsid w:val="004024D0"/>
    <w:rsid w:val="00402560"/>
    <w:rsid w:val="00404153"/>
    <w:rsid w:val="00404B41"/>
    <w:rsid w:val="00405A9C"/>
    <w:rsid w:val="00410ABE"/>
    <w:rsid w:val="00411B25"/>
    <w:rsid w:val="00412249"/>
    <w:rsid w:val="00412582"/>
    <w:rsid w:val="00415434"/>
    <w:rsid w:val="004159DC"/>
    <w:rsid w:val="004211ED"/>
    <w:rsid w:val="00421DD4"/>
    <w:rsid w:val="00421ECC"/>
    <w:rsid w:val="00422A6C"/>
    <w:rsid w:val="00424598"/>
    <w:rsid w:val="00424DF7"/>
    <w:rsid w:val="00425AF6"/>
    <w:rsid w:val="00431996"/>
    <w:rsid w:val="004332B7"/>
    <w:rsid w:val="0043450E"/>
    <w:rsid w:val="0043795A"/>
    <w:rsid w:val="004403BB"/>
    <w:rsid w:val="00440DF2"/>
    <w:rsid w:val="0044132E"/>
    <w:rsid w:val="00452E58"/>
    <w:rsid w:val="0045756C"/>
    <w:rsid w:val="004578F5"/>
    <w:rsid w:val="004615BA"/>
    <w:rsid w:val="00462AD1"/>
    <w:rsid w:val="00464678"/>
    <w:rsid w:val="00466AA4"/>
    <w:rsid w:val="00470808"/>
    <w:rsid w:val="00471431"/>
    <w:rsid w:val="00471ECE"/>
    <w:rsid w:val="00473EC3"/>
    <w:rsid w:val="0047660B"/>
    <w:rsid w:val="00476E8B"/>
    <w:rsid w:val="004770CF"/>
    <w:rsid w:val="004818C7"/>
    <w:rsid w:val="00481F18"/>
    <w:rsid w:val="00483177"/>
    <w:rsid w:val="00485593"/>
    <w:rsid w:val="0048665B"/>
    <w:rsid w:val="00486EA7"/>
    <w:rsid w:val="00491B63"/>
    <w:rsid w:val="00492676"/>
    <w:rsid w:val="00493D9E"/>
    <w:rsid w:val="004954F2"/>
    <w:rsid w:val="004A0E90"/>
    <w:rsid w:val="004A0FC8"/>
    <w:rsid w:val="004A11EA"/>
    <w:rsid w:val="004A28B6"/>
    <w:rsid w:val="004A5878"/>
    <w:rsid w:val="004A5C7D"/>
    <w:rsid w:val="004A6DDC"/>
    <w:rsid w:val="004A7E11"/>
    <w:rsid w:val="004B245E"/>
    <w:rsid w:val="004B2750"/>
    <w:rsid w:val="004B308E"/>
    <w:rsid w:val="004B474E"/>
    <w:rsid w:val="004B67B0"/>
    <w:rsid w:val="004C17D3"/>
    <w:rsid w:val="004C2CD2"/>
    <w:rsid w:val="004C2D6C"/>
    <w:rsid w:val="004C4A85"/>
    <w:rsid w:val="004D009C"/>
    <w:rsid w:val="004D0130"/>
    <w:rsid w:val="004D03AE"/>
    <w:rsid w:val="004D0874"/>
    <w:rsid w:val="004D3225"/>
    <w:rsid w:val="004D32BB"/>
    <w:rsid w:val="004E04FF"/>
    <w:rsid w:val="004E0AB6"/>
    <w:rsid w:val="004E11FC"/>
    <w:rsid w:val="004E221E"/>
    <w:rsid w:val="004E397A"/>
    <w:rsid w:val="004E4C2B"/>
    <w:rsid w:val="004E6382"/>
    <w:rsid w:val="004E78DF"/>
    <w:rsid w:val="004F3433"/>
    <w:rsid w:val="004F6F8B"/>
    <w:rsid w:val="004F7706"/>
    <w:rsid w:val="00500CD0"/>
    <w:rsid w:val="00501678"/>
    <w:rsid w:val="0050604C"/>
    <w:rsid w:val="0050737D"/>
    <w:rsid w:val="00510B63"/>
    <w:rsid w:val="0051122F"/>
    <w:rsid w:val="00513F17"/>
    <w:rsid w:val="005171E1"/>
    <w:rsid w:val="00517607"/>
    <w:rsid w:val="0052026B"/>
    <w:rsid w:val="005216B7"/>
    <w:rsid w:val="00521702"/>
    <w:rsid w:val="00523394"/>
    <w:rsid w:val="0052623E"/>
    <w:rsid w:val="00527B49"/>
    <w:rsid w:val="00530774"/>
    <w:rsid w:val="00535EB7"/>
    <w:rsid w:val="00542B0E"/>
    <w:rsid w:val="00546D84"/>
    <w:rsid w:val="00554B12"/>
    <w:rsid w:val="0056154B"/>
    <w:rsid w:val="00563CAE"/>
    <w:rsid w:val="005670DB"/>
    <w:rsid w:val="005720F6"/>
    <w:rsid w:val="005721D1"/>
    <w:rsid w:val="00577260"/>
    <w:rsid w:val="00577684"/>
    <w:rsid w:val="0058194D"/>
    <w:rsid w:val="00582526"/>
    <w:rsid w:val="00583386"/>
    <w:rsid w:val="00583C85"/>
    <w:rsid w:val="00584685"/>
    <w:rsid w:val="00595A3C"/>
    <w:rsid w:val="00596D84"/>
    <w:rsid w:val="005A1107"/>
    <w:rsid w:val="005A1715"/>
    <w:rsid w:val="005A27A0"/>
    <w:rsid w:val="005A340E"/>
    <w:rsid w:val="005A588C"/>
    <w:rsid w:val="005A58C7"/>
    <w:rsid w:val="005A6AF0"/>
    <w:rsid w:val="005B5002"/>
    <w:rsid w:val="005C4BE7"/>
    <w:rsid w:val="005C53EB"/>
    <w:rsid w:val="005D2B94"/>
    <w:rsid w:val="005D2E9F"/>
    <w:rsid w:val="005E08FC"/>
    <w:rsid w:val="005E0CCF"/>
    <w:rsid w:val="005E2B1F"/>
    <w:rsid w:val="005E5B29"/>
    <w:rsid w:val="005E61A5"/>
    <w:rsid w:val="005E704F"/>
    <w:rsid w:val="005E7F68"/>
    <w:rsid w:val="005F1530"/>
    <w:rsid w:val="005F4E3E"/>
    <w:rsid w:val="005F62D6"/>
    <w:rsid w:val="005F77CF"/>
    <w:rsid w:val="005F7ED8"/>
    <w:rsid w:val="00600417"/>
    <w:rsid w:val="00601ADC"/>
    <w:rsid w:val="00602406"/>
    <w:rsid w:val="00611E68"/>
    <w:rsid w:val="00611FD3"/>
    <w:rsid w:val="00612CB3"/>
    <w:rsid w:val="00615A3C"/>
    <w:rsid w:val="0061741C"/>
    <w:rsid w:val="00627AC2"/>
    <w:rsid w:val="006305B9"/>
    <w:rsid w:val="006317E7"/>
    <w:rsid w:val="00633F76"/>
    <w:rsid w:val="00634319"/>
    <w:rsid w:val="006361D0"/>
    <w:rsid w:val="0064144F"/>
    <w:rsid w:val="006428B6"/>
    <w:rsid w:val="00642AE4"/>
    <w:rsid w:val="0064305A"/>
    <w:rsid w:val="0064341D"/>
    <w:rsid w:val="00643B8D"/>
    <w:rsid w:val="006454CF"/>
    <w:rsid w:val="00645B42"/>
    <w:rsid w:val="006466BB"/>
    <w:rsid w:val="00646FF7"/>
    <w:rsid w:val="006518DA"/>
    <w:rsid w:val="0065265E"/>
    <w:rsid w:val="006539C9"/>
    <w:rsid w:val="00653BCC"/>
    <w:rsid w:val="00653E4A"/>
    <w:rsid w:val="00654860"/>
    <w:rsid w:val="00655A3E"/>
    <w:rsid w:val="00656B6F"/>
    <w:rsid w:val="00657C87"/>
    <w:rsid w:val="00660725"/>
    <w:rsid w:val="006638BF"/>
    <w:rsid w:val="006658D8"/>
    <w:rsid w:val="006678E4"/>
    <w:rsid w:val="00667B1C"/>
    <w:rsid w:val="00670C34"/>
    <w:rsid w:val="00670DA8"/>
    <w:rsid w:val="0067158B"/>
    <w:rsid w:val="00672001"/>
    <w:rsid w:val="006721D8"/>
    <w:rsid w:val="0067487D"/>
    <w:rsid w:val="006767DE"/>
    <w:rsid w:val="00676AF6"/>
    <w:rsid w:val="006770A9"/>
    <w:rsid w:val="00677126"/>
    <w:rsid w:val="00677228"/>
    <w:rsid w:val="006832A7"/>
    <w:rsid w:val="00683751"/>
    <w:rsid w:val="006844E8"/>
    <w:rsid w:val="006858F9"/>
    <w:rsid w:val="00691C18"/>
    <w:rsid w:val="00697DE8"/>
    <w:rsid w:val="006A04AA"/>
    <w:rsid w:val="006A0631"/>
    <w:rsid w:val="006A0F92"/>
    <w:rsid w:val="006A127F"/>
    <w:rsid w:val="006A2C16"/>
    <w:rsid w:val="006A2F0D"/>
    <w:rsid w:val="006A37B7"/>
    <w:rsid w:val="006A7639"/>
    <w:rsid w:val="006B1C62"/>
    <w:rsid w:val="006B368C"/>
    <w:rsid w:val="006B3923"/>
    <w:rsid w:val="006B6633"/>
    <w:rsid w:val="006B79CB"/>
    <w:rsid w:val="006C2214"/>
    <w:rsid w:val="006C411F"/>
    <w:rsid w:val="006C4A19"/>
    <w:rsid w:val="006C535A"/>
    <w:rsid w:val="006C64B4"/>
    <w:rsid w:val="006C6AFB"/>
    <w:rsid w:val="006C6BB8"/>
    <w:rsid w:val="006D0AE5"/>
    <w:rsid w:val="006D247A"/>
    <w:rsid w:val="006D33DF"/>
    <w:rsid w:val="006D4784"/>
    <w:rsid w:val="006D59EB"/>
    <w:rsid w:val="006E0CE2"/>
    <w:rsid w:val="006E2910"/>
    <w:rsid w:val="006E3950"/>
    <w:rsid w:val="006E4BE4"/>
    <w:rsid w:val="006E503E"/>
    <w:rsid w:val="006E5192"/>
    <w:rsid w:val="006E5581"/>
    <w:rsid w:val="006E7041"/>
    <w:rsid w:val="006E76E3"/>
    <w:rsid w:val="006F55D5"/>
    <w:rsid w:val="006F57D2"/>
    <w:rsid w:val="007035A6"/>
    <w:rsid w:val="007039A1"/>
    <w:rsid w:val="007102D0"/>
    <w:rsid w:val="007103F7"/>
    <w:rsid w:val="007135DC"/>
    <w:rsid w:val="00714253"/>
    <w:rsid w:val="00715270"/>
    <w:rsid w:val="0071573F"/>
    <w:rsid w:val="007159B9"/>
    <w:rsid w:val="00716385"/>
    <w:rsid w:val="0071786B"/>
    <w:rsid w:val="00720A4D"/>
    <w:rsid w:val="00720C6F"/>
    <w:rsid w:val="007219E9"/>
    <w:rsid w:val="00722157"/>
    <w:rsid w:val="0072448D"/>
    <w:rsid w:val="00726BE6"/>
    <w:rsid w:val="00732326"/>
    <w:rsid w:val="007343A6"/>
    <w:rsid w:val="007348DC"/>
    <w:rsid w:val="00743527"/>
    <w:rsid w:val="0074526C"/>
    <w:rsid w:val="00755251"/>
    <w:rsid w:val="00760A10"/>
    <w:rsid w:val="00761BE8"/>
    <w:rsid w:val="007625AA"/>
    <w:rsid w:val="00762632"/>
    <w:rsid w:val="007628A9"/>
    <w:rsid w:val="007649B9"/>
    <w:rsid w:val="00765864"/>
    <w:rsid w:val="007722F3"/>
    <w:rsid w:val="00772612"/>
    <w:rsid w:val="00773958"/>
    <w:rsid w:val="007775FF"/>
    <w:rsid w:val="00780C67"/>
    <w:rsid w:val="00782238"/>
    <w:rsid w:val="007877A3"/>
    <w:rsid w:val="007905E8"/>
    <w:rsid w:val="00790630"/>
    <w:rsid w:val="007932D8"/>
    <w:rsid w:val="007939ED"/>
    <w:rsid w:val="00794D51"/>
    <w:rsid w:val="007A1CCC"/>
    <w:rsid w:val="007A2DB6"/>
    <w:rsid w:val="007A3A7E"/>
    <w:rsid w:val="007A3C79"/>
    <w:rsid w:val="007A4F0E"/>
    <w:rsid w:val="007B0DC3"/>
    <w:rsid w:val="007B147B"/>
    <w:rsid w:val="007B2DFA"/>
    <w:rsid w:val="007B477D"/>
    <w:rsid w:val="007B63B7"/>
    <w:rsid w:val="007B7C4E"/>
    <w:rsid w:val="007C09CE"/>
    <w:rsid w:val="007C179D"/>
    <w:rsid w:val="007C2263"/>
    <w:rsid w:val="007C55F9"/>
    <w:rsid w:val="007C6C0D"/>
    <w:rsid w:val="007C774A"/>
    <w:rsid w:val="007C7D51"/>
    <w:rsid w:val="007D0392"/>
    <w:rsid w:val="007D1518"/>
    <w:rsid w:val="007D3CA2"/>
    <w:rsid w:val="007D5083"/>
    <w:rsid w:val="007D6913"/>
    <w:rsid w:val="007D69F6"/>
    <w:rsid w:val="007D7167"/>
    <w:rsid w:val="007D7615"/>
    <w:rsid w:val="007E08D3"/>
    <w:rsid w:val="007E11FA"/>
    <w:rsid w:val="007E4C54"/>
    <w:rsid w:val="007E67D5"/>
    <w:rsid w:val="007E6A30"/>
    <w:rsid w:val="007E717C"/>
    <w:rsid w:val="007F053F"/>
    <w:rsid w:val="007F3C7B"/>
    <w:rsid w:val="0080254D"/>
    <w:rsid w:val="00803859"/>
    <w:rsid w:val="00803D78"/>
    <w:rsid w:val="00806062"/>
    <w:rsid w:val="0081076F"/>
    <w:rsid w:val="00810A69"/>
    <w:rsid w:val="00812216"/>
    <w:rsid w:val="0081632C"/>
    <w:rsid w:val="00816E9E"/>
    <w:rsid w:val="00817B5E"/>
    <w:rsid w:val="008202E6"/>
    <w:rsid w:val="0082038C"/>
    <w:rsid w:val="00820D6F"/>
    <w:rsid w:val="00821268"/>
    <w:rsid w:val="00824130"/>
    <w:rsid w:val="0082653D"/>
    <w:rsid w:val="0082772B"/>
    <w:rsid w:val="00831907"/>
    <w:rsid w:val="00833AAA"/>
    <w:rsid w:val="00833BD9"/>
    <w:rsid w:val="0083435F"/>
    <w:rsid w:val="00834EC7"/>
    <w:rsid w:val="0084056B"/>
    <w:rsid w:val="00842E5D"/>
    <w:rsid w:val="008439B3"/>
    <w:rsid w:val="00844C12"/>
    <w:rsid w:val="00845ABC"/>
    <w:rsid w:val="008474BE"/>
    <w:rsid w:val="008506B8"/>
    <w:rsid w:val="00851242"/>
    <w:rsid w:val="00851909"/>
    <w:rsid w:val="00851AB6"/>
    <w:rsid w:val="008521FC"/>
    <w:rsid w:val="00852553"/>
    <w:rsid w:val="00852C65"/>
    <w:rsid w:val="0085370D"/>
    <w:rsid w:val="008552E4"/>
    <w:rsid w:val="008553BC"/>
    <w:rsid w:val="00857431"/>
    <w:rsid w:val="00860BD4"/>
    <w:rsid w:val="00862CAF"/>
    <w:rsid w:val="008634AD"/>
    <w:rsid w:val="0086503A"/>
    <w:rsid w:val="0087128A"/>
    <w:rsid w:val="00871689"/>
    <w:rsid w:val="00871DC5"/>
    <w:rsid w:val="00871EDD"/>
    <w:rsid w:val="00873723"/>
    <w:rsid w:val="00873C4A"/>
    <w:rsid w:val="008745F5"/>
    <w:rsid w:val="008768F0"/>
    <w:rsid w:val="00876E67"/>
    <w:rsid w:val="0088086B"/>
    <w:rsid w:val="008824B1"/>
    <w:rsid w:val="00886F05"/>
    <w:rsid w:val="00891D58"/>
    <w:rsid w:val="0089278C"/>
    <w:rsid w:val="00893BEF"/>
    <w:rsid w:val="0089423C"/>
    <w:rsid w:val="008944EA"/>
    <w:rsid w:val="00894684"/>
    <w:rsid w:val="00896270"/>
    <w:rsid w:val="00896E44"/>
    <w:rsid w:val="00897C8D"/>
    <w:rsid w:val="008A015D"/>
    <w:rsid w:val="008A3131"/>
    <w:rsid w:val="008A455F"/>
    <w:rsid w:val="008A53BC"/>
    <w:rsid w:val="008A696B"/>
    <w:rsid w:val="008A69E9"/>
    <w:rsid w:val="008A6BEE"/>
    <w:rsid w:val="008A6E36"/>
    <w:rsid w:val="008A7D5A"/>
    <w:rsid w:val="008B0B1A"/>
    <w:rsid w:val="008B0E5C"/>
    <w:rsid w:val="008B1DDB"/>
    <w:rsid w:val="008B1F8A"/>
    <w:rsid w:val="008B21EB"/>
    <w:rsid w:val="008B2C0E"/>
    <w:rsid w:val="008B4B94"/>
    <w:rsid w:val="008B581B"/>
    <w:rsid w:val="008B6DF8"/>
    <w:rsid w:val="008C0ACF"/>
    <w:rsid w:val="008C4535"/>
    <w:rsid w:val="008C4878"/>
    <w:rsid w:val="008C61E9"/>
    <w:rsid w:val="008C659F"/>
    <w:rsid w:val="008D0660"/>
    <w:rsid w:val="008D0999"/>
    <w:rsid w:val="008D09FF"/>
    <w:rsid w:val="008D3A3C"/>
    <w:rsid w:val="008D72A9"/>
    <w:rsid w:val="008E1E98"/>
    <w:rsid w:val="008E20A4"/>
    <w:rsid w:val="008E4B5D"/>
    <w:rsid w:val="008E64EE"/>
    <w:rsid w:val="008E7DF3"/>
    <w:rsid w:val="008F06E9"/>
    <w:rsid w:val="008F2A2C"/>
    <w:rsid w:val="008F3A9D"/>
    <w:rsid w:val="008F4837"/>
    <w:rsid w:val="008F4C5D"/>
    <w:rsid w:val="008F53EE"/>
    <w:rsid w:val="008F672B"/>
    <w:rsid w:val="0090020D"/>
    <w:rsid w:val="00902B35"/>
    <w:rsid w:val="009106E9"/>
    <w:rsid w:val="009139EE"/>
    <w:rsid w:val="00913B21"/>
    <w:rsid w:val="00921589"/>
    <w:rsid w:val="00924209"/>
    <w:rsid w:val="00930D68"/>
    <w:rsid w:val="00931A0A"/>
    <w:rsid w:val="00940130"/>
    <w:rsid w:val="00941DE9"/>
    <w:rsid w:val="00944D68"/>
    <w:rsid w:val="00946F2D"/>
    <w:rsid w:val="009473E1"/>
    <w:rsid w:val="00955357"/>
    <w:rsid w:val="00956E94"/>
    <w:rsid w:val="00957057"/>
    <w:rsid w:val="009630A7"/>
    <w:rsid w:val="00963750"/>
    <w:rsid w:val="009645A3"/>
    <w:rsid w:val="009647B5"/>
    <w:rsid w:val="009657B2"/>
    <w:rsid w:val="00967139"/>
    <w:rsid w:val="00967BFD"/>
    <w:rsid w:val="00971A30"/>
    <w:rsid w:val="009742E7"/>
    <w:rsid w:val="00975724"/>
    <w:rsid w:val="00975CEE"/>
    <w:rsid w:val="00977F7F"/>
    <w:rsid w:val="0098120F"/>
    <w:rsid w:val="009825CC"/>
    <w:rsid w:val="009851D6"/>
    <w:rsid w:val="00990516"/>
    <w:rsid w:val="009927C6"/>
    <w:rsid w:val="009A017A"/>
    <w:rsid w:val="009A2B1D"/>
    <w:rsid w:val="009A5E97"/>
    <w:rsid w:val="009A7D42"/>
    <w:rsid w:val="009B6D44"/>
    <w:rsid w:val="009C1C33"/>
    <w:rsid w:val="009C1F56"/>
    <w:rsid w:val="009C25DE"/>
    <w:rsid w:val="009C7B97"/>
    <w:rsid w:val="009D1959"/>
    <w:rsid w:val="009D36F4"/>
    <w:rsid w:val="009D5C7C"/>
    <w:rsid w:val="009D67F4"/>
    <w:rsid w:val="009D6A83"/>
    <w:rsid w:val="009D76A6"/>
    <w:rsid w:val="009E0914"/>
    <w:rsid w:val="009E261D"/>
    <w:rsid w:val="009E283A"/>
    <w:rsid w:val="009E2B50"/>
    <w:rsid w:val="009E37E6"/>
    <w:rsid w:val="009E50F2"/>
    <w:rsid w:val="009E70E5"/>
    <w:rsid w:val="009E7B7B"/>
    <w:rsid w:val="009F4B25"/>
    <w:rsid w:val="009F4D59"/>
    <w:rsid w:val="00A016BE"/>
    <w:rsid w:val="00A02BC4"/>
    <w:rsid w:val="00A032E4"/>
    <w:rsid w:val="00A048AE"/>
    <w:rsid w:val="00A055C0"/>
    <w:rsid w:val="00A063B8"/>
    <w:rsid w:val="00A10F8E"/>
    <w:rsid w:val="00A111A5"/>
    <w:rsid w:val="00A14111"/>
    <w:rsid w:val="00A14641"/>
    <w:rsid w:val="00A16C61"/>
    <w:rsid w:val="00A176F1"/>
    <w:rsid w:val="00A21FCF"/>
    <w:rsid w:val="00A24FA4"/>
    <w:rsid w:val="00A25AFD"/>
    <w:rsid w:val="00A26EED"/>
    <w:rsid w:val="00A27FF2"/>
    <w:rsid w:val="00A30DB1"/>
    <w:rsid w:val="00A37C50"/>
    <w:rsid w:val="00A37FA0"/>
    <w:rsid w:val="00A40477"/>
    <w:rsid w:val="00A40557"/>
    <w:rsid w:val="00A41BC7"/>
    <w:rsid w:val="00A4230B"/>
    <w:rsid w:val="00A43058"/>
    <w:rsid w:val="00A46A27"/>
    <w:rsid w:val="00A4702F"/>
    <w:rsid w:val="00A47B97"/>
    <w:rsid w:val="00A50080"/>
    <w:rsid w:val="00A5014C"/>
    <w:rsid w:val="00A5070E"/>
    <w:rsid w:val="00A5180A"/>
    <w:rsid w:val="00A522FF"/>
    <w:rsid w:val="00A53818"/>
    <w:rsid w:val="00A5414F"/>
    <w:rsid w:val="00A568DD"/>
    <w:rsid w:val="00A628C4"/>
    <w:rsid w:val="00A636A5"/>
    <w:rsid w:val="00A63A0E"/>
    <w:rsid w:val="00A71730"/>
    <w:rsid w:val="00A77B72"/>
    <w:rsid w:val="00A80776"/>
    <w:rsid w:val="00A8312D"/>
    <w:rsid w:val="00A83C2B"/>
    <w:rsid w:val="00A856A2"/>
    <w:rsid w:val="00A85A75"/>
    <w:rsid w:val="00A86A04"/>
    <w:rsid w:val="00A87F87"/>
    <w:rsid w:val="00A90F12"/>
    <w:rsid w:val="00A9147B"/>
    <w:rsid w:val="00A9169D"/>
    <w:rsid w:val="00A921D5"/>
    <w:rsid w:val="00A92C9C"/>
    <w:rsid w:val="00A93629"/>
    <w:rsid w:val="00A93F57"/>
    <w:rsid w:val="00A9490D"/>
    <w:rsid w:val="00A9700E"/>
    <w:rsid w:val="00AA3347"/>
    <w:rsid w:val="00AA705E"/>
    <w:rsid w:val="00AA7AEA"/>
    <w:rsid w:val="00AB0EFE"/>
    <w:rsid w:val="00AB3FFB"/>
    <w:rsid w:val="00AB4573"/>
    <w:rsid w:val="00AB4C8D"/>
    <w:rsid w:val="00AB68BF"/>
    <w:rsid w:val="00AB7489"/>
    <w:rsid w:val="00AC0FCF"/>
    <w:rsid w:val="00AC1808"/>
    <w:rsid w:val="00AC2B57"/>
    <w:rsid w:val="00AC394B"/>
    <w:rsid w:val="00AC5CF9"/>
    <w:rsid w:val="00AD1202"/>
    <w:rsid w:val="00AD19AF"/>
    <w:rsid w:val="00AD1D9D"/>
    <w:rsid w:val="00AD256A"/>
    <w:rsid w:val="00AD352E"/>
    <w:rsid w:val="00AD4323"/>
    <w:rsid w:val="00AD4420"/>
    <w:rsid w:val="00AD4FCF"/>
    <w:rsid w:val="00AE0C52"/>
    <w:rsid w:val="00AE3287"/>
    <w:rsid w:val="00AE51D0"/>
    <w:rsid w:val="00AE5B19"/>
    <w:rsid w:val="00AE5D25"/>
    <w:rsid w:val="00AE7B5C"/>
    <w:rsid w:val="00AF349E"/>
    <w:rsid w:val="00AF432C"/>
    <w:rsid w:val="00AF503E"/>
    <w:rsid w:val="00AF5362"/>
    <w:rsid w:val="00B000C6"/>
    <w:rsid w:val="00B002F6"/>
    <w:rsid w:val="00B007BE"/>
    <w:rsid w:val="00B02321"/>
    <w:rsid w:val="00B03F7B"/>
    <w:rsid w:val="00B05FB2"/>
    <w:rsid w:val="00B062F7"/>
    <w:rsid w:val="00B141DA"/>
    <w:rsid w:val="00B15D2B"/>
    <w:rsid w:val="00B16DBA"/>
    <w:rsid w:val="00B202F3"/>
    <w:rsid w:val="00B20E9C"/>
    <w:rsid w:val="00B22209"/>
    <w:rsid w:val="00B23454"/>
    <w:rsid w:val="00B239CE"/>
    <w:rsid w:val="00B2400B"/>
    <w:rsid w:val="00B24647"/>
    <w:rsid w:val="00B25F39"/>
    <w:rsid w:val="00B27E5F"/>
    <w:rsid w:val="00B31BBC"/>
    <w:rsid w:val="00B34E9B"/>
    <w:rsid w:val="00B3502B"/>
    <w:rsid w:val="00B35F63"/>
    <w:rsid w:val="00B404A1"/>
    <w:rsid w:val="00B40701"/>
    <w:rsid w:val="00B44F8A"/>
    <w:rsid w:val="00B47A7F"/>
    <w:rsid w:val="00B53F42"/>
    <w:rsid w:val="00B57D1C"/>
    <w:rsid w:val="00B610C0"/>
    <w:rsid w:val="00B61C78"/>
    <w:rsid w:val="00B62299"/>
    <w:rsid w:val="00B63706"/>
    <w:rsid w:val="00B72D32"/>
    <w:rsid w:val="00B7436C"/>
    <w:rsid w:val="00B80499"/>
    <w:rsid w:val="00B860EE"/>
    <w:rsid w:val="00B92167"/>
    <w:rsid w:val="00B922E5"/>
    <w:rsid w:val="00B92F31"/>
    <w:rsid w:val="00B94BC7"/>
    <w:rsid w:val="00B9544F"/>
    <w:rsid w:val="00BA0A0B"/>
    <w:rsid w:val="00BA3423"/>
    <w:rsid w:val="00BA54CE"/>
    <w:rsid w:val="00BB014D"/>
    <w:rsid w:val="00BB0625"/>
    <w:rsid w:val="00BB126A"/>
    <w:rsid w:val="00BB1E40"/>
    <w:rsid w:val="00BB3002"/>
    <w:rsid w:val="00BB6A5D"/>
    <w:rsid w:val="00BB7654"/>
    <w:rsid w:val="00BC17C3"/>
    <w:rsid w:val="00BC30DE"/>
    <w:rsid w:val="00BD09AF"/>
    <w:rsid w:val="00BD631B"/>
    <w:rsid w:val="00BD6BC6"/>
    <w:rsid w:val="00BD7531"/>
    <w:rsid w:val="00BE272C"/>
    <w:rsid w:val="00BE3E2B"/>
    <w:rsid w:val="00BE4668"/>
    <w:rsid w:val="00BE6EC2"/>
    <w:rsid w:val="00BF1252"/>
    <w:rsid w:val="00C01977"/>
    <w:rsid w:val="00C0295F"/>
    <w:rsid w:val="00C032A3"/>
    <w:rsid w:val="00C03645"/>
    <w:rsid w:val="00C039C6"/>
    <w:rsid w:val="00C04CE9"/>
    <w:rsid w:val="00C04D7E"/>
    <w:rsid w:val="00C1094B"/>
    <w:rsid w:val="00C135AA"/>
    <w:rsid w:val="00C14D14"/>
    <w:rsid w:val="00C15914"/>
    <w:rsid w:val="00C20A77"/>
    <w:rsid w:val="00C214D6"/>
    <w:rsid w:val="00C26352"/>
    <w:rsid w:val="00C3327F"/>
    <w:rsid w:val="00C34E49"/>
    <w:rsid w:val="00C36497"/>
    <w:rsid w:val="00C37849"/>
    <w:rsid w:val="00C379EE"/>
    <w:rsid w:val="00C41A42"/>
    <w:rsid w:val="00C42014"/>
    <w:rsid w:val="00C42CB1"/>
    <w:rsid w:val="00C4338C"/>
    <w:rsid w:val="00C44323"/>
    <w:rsid w:val="00C465E3"/>
    <w:rsid w:val="00C53555"/>
    <w:rsid w:val="00C53992"/>
    <w:rsid w:val="00C5439F"/>
    <w:rsid w:val="00C569F0"/>
    <w:rsid w:val="00C64D53"/>
    <w:rsid w:val="00C6596C"/>
    <w:rsid w:val="00C65E24"/>
    <w:rsid w:val="00C66A05"/>
    <w:rsid w:val="00C67513"/>
    <w:rsid w:val="00C77E1F"/>
    <w:rsid w:val="00C805C5"/>
    <w:rsid w:val="00C81A8A"/>
    <w:rsid w:val="00C857B2"/>
    <w:rsid w:val="00C86801"/>
    <w:rsid w:val="00C90156"/>
    <w:rsid w:val="00C91389"/>
    <w:rsid w:val="00C91FA3"/>
    <w:rsid w:val="00C93CCF"/>
    <w:rsid w:val="00C94CB1"/>
    <w:rsid w:val="00C965BB"/>
    <w:rsid w:val="00CA0573"/>
    <w:rsid w:val="00CA0DBE"/>
    <w:rsid w:val="00CA24F6"/>
    <w:rsid w:val="00CA409B"/>
    <w:rsid w:val="00CA4EAA"/>
    <w:rsid w:val="00CA4F42"/>
    <w:rsid w:val="00CA658D"/>
    <w:rsid w:val="00CB3184"/>
    <w:rsid w:val="00CB3AA5"/>
    <w:rsid w:val="00CB3ED3"/>
    <w:rsid w:val="00CB4673"/>
    <w:rsid w:val="00CB4DC6"/>
    <w:rsid w:val="00CB6F5C"/>
    <w:rsid w:val="00CB789F"/>
    <w:rsid w:val="00CC05B6"/>
    <w:rsid w:val="00CC1BF8"/>
    <w:rsid w:val="00CC2FAC"/>
    <w:rsid w:val="00CC6A58"/>
    <w:rsid w:val="00CC7FB2"/>
    <w:rsid w:val="00CD1A84"/>
    <w:rsid w:val="00CD3E51"/>
    <w:rsid w:val="00CE1350"/>
    <w:rsid w:val="00CE1A5B"/>
    <w:rsid w:val="00CF10FE"/>
    <w:rsid w:val="00CF1472"/>
    <w:rsid w:val="00CF2E74"/>
    <w:rsid w:val="00CF72A7"/>
    <w:rsid w:val="00D02C1B"/>
    <w:rsid w:val="00D0438A"/>
    <w:rsid w:val="00D06B11"/>
    <w:rsid w:val="00D13EED"/>
    <w:rsid w:val="00D13FBE"/>
    <w:rsid w:val="00D14F0D"/>
    <w:rsid w:val="00D1628D"/>
    <w:rsid w:val="00D22884"/>
    <w:rsid w:val="00D22935"/>
    <w:rsid w:val="00D263C9"/>
    <w:rsid w:val="00D3212E"/>
    <w:rsid w:val="00D32744"/>
    <w:rsid w:val="00D33E54"/>
    <w:rsid w:val="00D34138"/>
    <w:rsid w:val="00D349C0"/>
    <w:rsid w:val="00D34ADA"/>
    <w:rsid w:val="00D34EEC"/>
    <w:rsid w:val="00D35FB5"/>
    <w:rsid w:val="00D37377"/>
    <w:rsid w:val="00D37E0A"/>
    <w:rsid w:val="00D4000D"/>
    <w:rsid w:val="00D43AF7"/>
    <w:rsid w:val="00D44E28"/>
    <w:rsid w:val="00D46C0F"/>
    <w:rsid w:val="00D46FA5"/>
    <w:rsid w:val="00D47D3A"/>
    <w:rsid w:val="00D5473B"/>
    <w:rsid w:val="00D55CEE"/>
    <w:rsid w:val="00D572FD"/>
    <w:rsid w:val="00D578DA"/>
    <w:rsid w:val="00D62600"/>
    <w:rsid w:val="00D6262C"/>
    <w:rsid w:val="00D631C8"/>
    <w:rsid w:val="00D632AF"/>
    <w:rsid w:val="00D64236"/>
    <w:rsid w:val="00D64EFD"/>
    <w:rsid w:val="00D707E9"/>
    <w:rsid w:val="00D7250B"/>
    <w:rsid w:val="00D75CE4"/>
    <w:rsid w:val="00D76E40"/>
    <w:rsid w:val="00D80DF1"/>
    <w:rsid w:val="00D81822"/>
    <w:rsid w:val="00D82623"/>
    <w:rsid w:val="00D830B9"/>
    <w:rsid w:val="00D84934"/>
    <w:rsid w:val="00D86F2C"/>
    <w:rsid w:val="00D87CAC"/>
    <w:rsid w:val="00D91165"/>
    <w:rsid w:val="00D93C05"/>
    <w:rsid w:val="00D94E70"/>
    <w:rsid w:val="00D96F8E"/>
    <w:rsid w:val="00D9782B"/>
    <w:rsid w:val="00DA20E3"/>
    <w:rsid w:val="00DA5A85"/>
    <w:rsid w:val="00DA6FDA"/>
    <w:rsid w:val="00DA7327"/>
    <w:rsid w:val="00DB183C"/>
    <w:rsid w:val="00DB1CAC"/>
    <w:rsid w:val="00DB1CE8"/>
    <w:rsid w:val="00DB2299"/>
    <w:rsid w:val="00DB32C2"/>
    <w:rsid w:val="00DB4830"/>
    <w:rsid w:val="00DB5CF2"/>
    <w:rsid w:val="00DB6284"/>
    <w:rsid w:val="00DC283A"/>
    <w:rsid w:val="00DC2D4F"/>
    <w:rsid w:val="00DC38C3"/>
    <w:rsid w:val="00DC5316"/>
    <w:rsid w:val="00DC62EA"/>
    <w:rsid w:val="00DC6319"/>
    <w:rsid w:val="00DC74B4"/>
    <w:rsid w:val="00DD189F"/>
    <w:rsid w:val="00DD33E5"/>
    <w:rsid w:val="00DD48E7"/>
    <w:rsid w:val="00DD62C4"/>
    <w:rsid w:val="00DD6B0A"/>
    <w:rsid w:val="00DD6C77"/>
    <w:rsid w:val="00DD766E"/>
    <w:rsid w:val="00DE1936"/>
    <w:rsid w:val="00DE4F59"/>
    <w:rsid w:val="00DE54CD"/>
    <w:rsid w:val="00DE55C2"/>
    <w:rsid w:val="00DE6843"/>
    <w:rsid w:val="00DF1579"/>
    <w:rsid w:val="00DF265C"/>
    <w:rsid w:val="00DF2814"/>
    <w:rsid w:val="00DF283E"/>
    <w:rsid w:val="00DF4A79"/>
    <w:rsid w:val="00DF5AF4"/>
    <w:rsid w:val="00E00278"/>
    <w:rsid w:val="00E00D6B"/>
    <w:rsid w:val="00E01C38"/>
    <w:rsid w:val="00E01F9B"/>
    <w:rsid w:val="00E03408"/>
    <w:rsid w:val="00E16244"/>
    <w:rsid w:val="00E17850"/>
    <w:rsid w:val="00E24EC2"/>
    <w:rsid w:val="00E25B5E"/>
    <w:rsid w:val="00E26934"/>
    <w:rsid w:val="00E31E44"/>
    <w:rsid w:val="00E31E47"/>
    <w:rsid w:val="00E35A62"/>
    <w:rsid w:val="00E37D5D"/>
    <w:rsid w:val="00E44B13"/>
    <w:rsid w:val="00E4515D"/>
    <w:rsid w:val="00E454D2"/>
    <w:rsid w:val="00E476EA"/>
    <w:rsid w:val="00E5000A"/>
    <w:rsid w:val="00E53C54"/>
    <w:rsid w:val="00E53D3F"/>
    <w:rsid w:val="00E543D1"/>
    <w:rsid w:val="00E61074"/>
    <w:rsid w:val="00E62060"/>
    <w:rsid w:val="00E660E4"/>
    <w:rsid w:val="00E70371"/>
    <w:rsid w:val="00E70DF1"/>
    <w:rsid w:val="00E73B9A"/>
    <w:rsid w:val="00E745B0"/>
    <w:rsid w:val="00E7474C"/>
    <w:rsid w:val="00E82FA4"/>
    <w:rsid w:val="00E834EE"/>
    <w:rsid w:val="00E87A26"/>
    <w:rsid w:val="00E87F51"/>
    <w:rsid w:val="00E91BE2"/>
    <w:rsid w:val="00E92E08"/>
    <w:rsid w:val="00EA2C54"/>
    <w:rsid w:val="00EA3D59"/>
    <w:rsid w:val="00EB12F0"/>
    <w:rsid w:val="00EB3DF6"/>
    <w:rsid w:val="00EC0E9E"/>
    <w:rsid w:val="00EC1079"/>
    <w:rsid w:val="00EC3B52"/>
    <w:rsid w:val="00EC409E"/>
    <w:rsid w:val="00EC5D42"/>
    <w:rsid w:val="00ED0E49"/>
    <w:rsid w:val="00ED225D"/>
    <w:rsid w:val="00ED2664"/>
    <w:rsid w:val="00ED2D55"/>
    <w:rsid w:val="00ED34B5"/>
    <w:rsid w:val="00ED35B6"/>
    <w:rsid w:val="00ED3CC8"/>
    <w:rsid w:val="00ED799F"/>
    <w:rsid w:val="00EE147C"/>
    <w:rsid w:val="00EE40B0"/>
    <w:rsid w:val="00EE5922"/>
    <w:rsid w:val="00EE676A"/>
    <w:rsid w:val="00EE76F4"/>
    <w:rsid w:val="00EF1027"/>
    <w:rsid w:val="00EF138C"/>
    <w:rsid w:val="00EF63E9"/>
    <w:rsid w:val="00EF7AD4"/>
    <w:rsid w:val="00F01A13"/>
    <w:rsid w:val="00F02779"/>
    <w:rsid w:val="00F033F5"/>
    <w:rsid w:val="00F04892"/>
    <w:rsid w:val="00F04E31"/>
    <w:rsid w:val="00F075F7"/>
    <w:rsid w:val="00F15299"/>
    <w:rsid w:val="00F15770"/>
    <w:rsid w:val="00F17625"/>
    <w:rsid w:val="00F21086"/>
    <w:rsid w:val="00F23AA4"/>
    <w:rsid w:val="00F245BB"/>
    <w:rsid w:val="00F245C9"/>
    <w:rsid w:val="00F329E1"/>
    <w:rsid w:val="00F32B1C"/>
    <w:rsid w:val="00F331D7"/>
    <w:rsid w:val="00F35184"/>
    <w:rsid w:val="00F36335"/>
    <w:rsid w:val="00F36455"/>
    <w:rsid w:val="00F3687C"/>
    <w:rsid w:val="00F37AB4"/>
    <w:rsid w:val="00F42122"/>
    <w:rsid w:val="00F42911"/>
    <w:rsid w:val="00F451FE"/>
    <w:rsid w:val="00F45999"/>
    <w:rsid w:val="00F50468"/>
    <w:rsid w:val="00F51BBA"/>
    <w:rsid w:val="00F522B0"/>
    <w:rsid w:val="00F53E92"/>
    <w:rsid w:val="00F626CB"/>
    <w:rsid w:val="00F6273A"/>
    <w:rsid w:val="00F647D2"/>
    <w:rsid w:val="00F64ED9"/>
    <w:rsid w:val="00F66209"/>
    <w:rsid w:val="00F67613"/>
    <w:rsid w:val="00F70B00"/>
    <w:rsid w:val="00F72405"/>
    <w:rsid w:val="00F75BAF"/>
    <w:rsid w:val="00F76568"/>
    <w:rsid w:val="00F77CB1"/>
    <w:rsid w:val="00F82267"/>
    <w:rsid w:val="00F82C8F"/>
    <w:rsid w:val="00F96972"/>
    <w:rsid w:val="00FA1A78"/>
    <w:rsid w:val="00FA468B"/>
    <w:rsid w:val="00FA4D7B"/>
    <w:rsid w:val="00FA5C38"/>
    <w:rsid w:val="00FB1413"/>
    <w:rsid w:val="00FB172D"/>
    <w:rsid w:val="00FC056A"/>
    <w:rsid w:val="00FC1241"/>
    <w:rsid w:val="00FC7ACF"/>
    <w:rsid w:val="00FD39C5"/>
    <w:rsid w:val="00FD3EF1"/>
    <w:rsid w:val="00FE0EAB"/>
    <w:rsid w:val="00FE148B"/>
    <w:rsid w:val="00FE294C"/>
    <w:rsid w:val="00FE3AD9"/>
    <w:rsid w:val="00FE5DDE"/>
    <w:rsid w:val="00FF3B96"/>
    <w:rsid w:val="00FF4150"/>
    <w:rsid w:val="00FF52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895A520"/>
  <w15:chartTrackingRefBased/>
  <w15:docId w15:val="{F23CB1AE-F96D-47C2-BF2A-BC361130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0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BalloonText">
    <w:name w:val="Balloon Text"/>
    <w:basedOn w:val="Normal"/>
    <w:link w:val="BalloonTextChar"/>
    <w:uiPriority w:val="99"/>
    <w:semiHidden/>
    <w:unhideWhenUsed/>
    <w:rsid w:val="004B4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74E"/>
    <w:rPr>
      <w:rFonts w:ascii="Segoe UI" w:hAnsi="Segoe UI" w:cs="Segoe UI"/>
      <w:color w:val="393938"/>
      <w:sz w:val="18"/>
      <w:szCs w:val="18"/>
    </w:rPr>
  </w:style>
  <w:style w:type="character" w:customStyle="1" w:styleId="Heading3Char">
    <w:name w:val="Heading 3 Char"/>
    <w:basedOn w:val="DefaultParagraphFont"/>
    <w:link w:val="Heading3"/>
    <w:uiPriority w:val="9"/>
    <w:semiHidden/>
    <w:rsid w:val="008D066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852B8"/>
    <w:rPr>
      <w:sz w:val="16"/>
      <w:szCs w:val="16"/>
    </w:rPr>
  </w:style>
  <w:style w:type="paragraph" w:styleId="CommentText">
    <w:name w:val="annotation text"/>
    <w:basedOn w:val="Normal"/>
    <w:link w:val="CommentTextChar"/>
    <w:uiPriority w:val="99"/>
    <w:semiHidden/>
    <w:unhideWhenUsed/>
    <w:rsid w:val="002852B8"/>
    <w:pPr>
      <w:spacing w:line="240" w:lineRule="auto"/>
    </w:pPr>
    <w:rPr>
      <w:sz w:val="20"/>
      <w:szCs w:val="20"/>
    </w:rPr>
  </w:style>
  <w:style w:type="character" w:customStyle="1" w:styleId="CommentTextChar">
    <w:name w:val="Comment Text Char"/>
    <w:basedOn w:val="DefaultParagraphFont"/>
    <w:link w:val="CommentText"/>
    <w:uiPriority w:val="99"/>
    <w:semiHidden/>
    <w:rsid w:val="002852B8"/>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2852B8"/>
    <w:rPr>
      <w:b/>
      <w:bCs/>
    </w:rPr>
  </w:style>
  <w:style w:type="character" w:customStyle="1" w:styleId="CommentSubjectChar">
    <w:name w:val="Comment Subject Char"/>
    <w:basedOn w:val="CommentTextChar"/>
    <w:link w:val="CommentSubject"/>
    <w:uiPriority w:val="99"/>
    <w:semiHidden/>
    <w:rsid w:val="002852B8"/>
    <w:rPr>
      <w:rFonts w:ascii="Calibri Light" w:hAnsi="Calibri Light" w:cs="Calibri Light"/>
      <w:b/>
      <w:bCs/>
      <w:color w:val="393938"/>
      <w:sz w:val="20"/>
      <w:szCs w:val="20"/>
    </w:rPr>
  </w:style>
  <w:style w:type="character" w:styleId="Hyperlink">
    <w:name w:val="Hyperlink"/>
    <w:basedOn w:val="DefaultParagraphFont"/>
    <w:uiPriority w:val="99"/>
    <w:unhideWhenUsed/>
    <w:rsid w:val="00A111A5"/>
    <w:rPr>
      <w:color w:val="0563C1" w:themeColor="hyperlink"/>
      <w:u w:val="single"/>
    </w:rPr>
  </w:style>
  <w:style w:type="character" w:styleId="UnresolvedMention">
    <w:name w:val="Unresolved Mention"/>
    <w:basedOn w:val="DefaultParagraphFont"/>
    <w:uiPriority w:val="99"/>
    <w:semiHidden/>
    <w:unhideWhenUsed/>
    <w:rsid w:val="00A111A5"/>
    <w:rPr>
      <w:color w:val="605E5C"/>
      <w:shd w:val="clear" w:color="auto" w:fill="E1DFDD"/>
    </w:rPr>
  </w:style>
  <w:style w:type="character" w:styleId="FollowedHyperlink">
    <w:name w:val="FollowedHyperlink"/>
    <w:basedOn w:val="DefaultParagraphFont"/>
    <w:uiPriority w:val="99"/>
    <w:semiHidden/>
    <w:unhideWhenUsed/>
    <w:rsid w:val="00683751"/>
    <w:rPr>
      <w:color w:val="954F72" w:themeColor="followedHyperlink"/>
      <w:u w:val="single"/>
    </w:rPr>
  </w:style>
  <w:style w:type="character" w:styleId="SubtleEmphasis">
    <w:name w:val="Subtle Emphasis"/>
    <w:basedOn w:val="DefaultParagraphFont"/>
    <w:uiPriority w:val="19"/>
    <w:qFormat/>
    <w:rsid w:val="00762632"/>
    <w:rPr>
      <w:i/>
      <w:iCs/>
      <w:color w:val="404040" w:themeColor="text1" w:themeTint="BF"/>
    </w:rPr>
  </w:style>
  <w:style w:type="paragraph" w:styleId="Revision">
    <w:name w:val="Revision"/>
    <w:hidden/>
    <w:uiPriority w:val="99"/>
    <w:semiHidden/>
    <w:rsid w:val="006A0F92"/>
    <w:pPr>
      <w:spacing w:after="0" w:line="240" w:lineRule="auto"/>
    </w:pPr>
    <w:rPr>
      <w:rFonts w:ascii="Calibri Light" w:hAnsi="Calibri Light" w:cs="Calibri Light"/>
      <w:color w:val="393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886">
      <w:bodyDiv w:val="1"/>
      <w:marLeft w:val="0"/>
      <w:marRight w:val="0"/>
      <w:marTop w:val="0"/>
      <w:marBottom w:val="0"/>
      <w:divBdr>
        <w:top w:val="none" w:sz="0" w:space="0" w:color="auto"/>
        <w:left w:val="none" w:sz="0" w:space="0" w:color="auto"/>
        <w:bottom w:val="none" w:sz="0" w:space="0" w:color="auto"/>
        <w:right w:val="none" w:sz="0" w:space="0" w:color="auto"/>
      </w:divBdr>
      <w:divsChild>
        <w:div w:id="1154029830">
          <w:marLeft w:val="0"/>
          <w:marRight w:val="0"/>
          <w:marTop w:val="0"/>
          <w:marBottom w:val="0"/>
          <w:divBdr>
            <w:top w:val="none" w:sz="0" w:space="0" w:color="auto"/>
            <w:left w:val="none" w:sz="0" w:space="0" w:color="auto"/>
            <w:bottom w:val="none" w:sz="0" w:space="0" w:color="auto"/>
            <w:right w:val="none" w:sz="0" w:space="0" w:color="auto"/>
          </w:divBdr>
        </w:div>
      </w:divsChild>
    </w:div>
    <w:div w:id="143276286">
      <w:bodyDiv w:val="1"/>
      <w:marLeft w:val="0"/>
      <w:marRight w:val="0"/>
      <w:marTop w:val="0"/>
      <w:marBottom w:val="0"/>
      <w:divBdr>
        <w:top w:val="none" w:sz="0" w:space="0" w:color="auto"/>
        <w:left w:val="none" w:sz="0" w:space="0" w:color="auto"/>
        <w:bottom w:val="none" w:sz="0" w:space="0" w:color="auto"/>
        <w:right w:val="none" w:sz="0" w:space="0" w:color="auto"/>
      </w:divBdr>
      <w:divsChild>
        <w:div w:id="1584485999">
          <w:marLeft w:val="0"/>
          <w:marRight w:val="0"/>
          <w:marTop w:val="0"/>
          <w:marBottom w:val="0"/>
          <w:divBdr>
            <w:top w:val="none" w:sz="0" w:space="0" w:color="auto"/>
            <w:left w:val="none" w:sz="0" w:space="0" w:color="auto"/>
            <w:bottom w:val="none" w:sz="0" w:space="0" w:color="auto"/>
            <w:right w:val="none" w:sz="0" w:space="0" w:color="auto"/>
          </w:divBdr>
        </w:div>
      </w:divsChild>
    </w:div>
    <w:div w:id="612320522">
      <w:bodyDiv w:val="1"/>
      <w:marLeft w:val="0"/>
      <w:marRight w:val="0"/>
      <w:marTop w:val="0"/>
      <w:marBottom w:val="0"/>
      <w:divBdr>
        <w:top w:val="none" w:sz="0" w:space="0" w:color="auto"/>
        <w:left w:val="none" w:sz="0" w:space="0" w:color="auto"/>
        <w:bottom w:val="none" w:sz="0" w:space="0" w:color="auto"/>
        <w:right w:val="none" w:sz="0" w:space="0" w:color="auto"/>
      </w:divBdr>
    </w:div>
    <w:div w:id="1191458539">
      <w:bodyDiv w:val="1"/>
      <w:marLeft w:val="0"/>
      <w:marRight w:val="0"/>
      <w:marTop w:val="0"/>
      <w:marBottom w:val="0"/>
      <w:divBdr>
        <w:top w:val="none" w:sz="0" w:space="0" w:color="auto"/>
        <w:left w:val="none" w:sz="0" w:space="0" w:color="auto"/>
        <w:bottom w:val="none" w:sz="0" w:space="0" w:color="auto"/>
        <w:right w:val="none" w:sz="0" w:space="0" w:color="auto"/>
      </w:divBdr>
    </w:div>
    <w:div w:id="1660960651">
      <w:bodyDiv w:val="1"/>
      <w:marLeft w:val="0"/>
      <w:marRight w:val="0"/>
      <w:marTop w:val="0"/>
      <w:marBottom w:val="0"/>
      <w:divBdr>
        <w:top w:val="none" w:sz="0" w:space="0" w:color="auto"/>
        <w:left w:val="none" w:sz="0" w:space="0" w:color="auto"/>
        <w:bottom w:val="none" w:sz="0" w:space="0" w:color="auto"/>
        <w:right w:val="none" w:sz="0" w:space="0" w:color="auto"/>
      </w:divBdr>
      <w:divsChild>
        <w:div w:id="906375037">
          <w:marLeft w:val="0"/>
          <w:marRight w:val="0"/>
          <w:marTop w:val="0"/>
          <w:marBottom w:val="0"/>
          <w:divBdr>
            <w:top w:val="none" w:sz="0" w:space="0" w:color="auto"/>
            <w:left w:val="none" w:sz="0" w:space="0" w:color="auto"/>
            <w:bottom w:val="none" w:sz="0" w:space="0" w:color="auto"/>
            <w:right w:val="none" w:sz="0" w:space="0" w:color="auto"/>
          </w:divBdr>
        </w:div>
      </w:divsChild>
    </w:div>
    <w:div w:id="1875731858">
      <w:bodyDiv w:val="1"/>
      <w:marLeft w:val="0"/>
      <w:marRight w:val="0"/>
      <w:marTop w:val="0"/>
      <w:marBottom w:val="0"/>
      <w:divBdr>
        <w:top w:val="none" w:sz="0" w:space="0" w:color="auto"/>
        <w:left w:val="none" w:sz="0" w:space="0" w:color="auto"/>
        <w:bottom w:val="none" w:sz="0" w:space="0" w:color="auto"/>
        <w:right w:val="none" w:sz="0" w:space="0" w:color="auto"/>
      </w:divBdr>
      <w:divsChild>
        <w:div w:id="650868904">
          <w:marLeft w:val="0"/>
          <w:marRight w:val="0"/>
          <w:marTop w:val="0"/>
          <w:marBottom w:val="0"/>
          <w:divBdr>
            <w:top w:val="none" w:sz="0" w:space="0" w:color="auto"/>
            <w:left w:val="none" w:sz="0" w:space="0" w:color="auto"/>
            <w:bottom w:val="none" w:sz="0" w:space="0" w:color="auto"/>
            <w:right w:val="none" w:sz="0" w:space="0" w:color="auto"/>
          </w:divBdr>
        </w:div>
      </w:divsChild>
    </w:div>
    <w:div w:id="2002851364">
      <w:bodyDiv w:val="1"/>
      <w:marLeft w:val="0"/>
      <w:marRight w:val="0"/>
      <w:marTop w:val="0"/>
      <w:marBottom w:val="0"/>
      <w:divBdr>
        <w:top w:val="none" w:sz="0" w:space="0" w:color="auto"/>
        <w:left w:val="none" w:sz="0" w:space="0" w:color="auto"/>
        <w:bottom w:val="none" w:sz="0" w:space="0" w:color="auto"/>
        <w:right w:val="none" w:sz="0" w:space="0" w:color="auto"/>
      </w:divBdr>
      <w:divsChild>
        <w:div w:id="50196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1" ma:contentTypeDescription="" ma:contentTypeScope="" ma:versionID="48b59fb33403f05ff0091064a06a60fa">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c381e0136d964080f4c81ea6e67747fb"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MSCOUTREACH-166638024-13729</_dlc_DocId>
    <_dlc_DocIdUrl xmlns="230c30b3-5bf2-4424-b964-6b55c85701d3">
      <Url>https://marinestewardshipcouncil.sharepoint.com/sites/outreach/NE_Atlantic/_layouts/15/DocIdRedir.aspx?ID=MSCOUTREACH-166638024-13729</Url>
      <Description>MSCOUTREACH-166638024-13729</Description>
    </_dlc_DocIdUrl>
    <SharedWithUsers xmlns="230c30b3-5bf2-4424-b964-6b55c85701d3">
      <UserInfo>
        <DisplayName>Matthew Spencer</DisplayName>
        <AccountId>2907</AccountId>
        <AccountType/>
      </UserInfo>
      <UserInfo>
        <DisplayName>Katie Keay</DisplayName>
        <AccountId>3081</AccountId>
        <AccountType/>
      </UserInfo>
    </SharedWithUsers>
  </documentManagement>
</p:properties>
</file>

<file path=customXml/itemProps1.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2.xml><?xml version="1.0" encoding="utf-8"?>
<ds:datastoreItem xmlns:ds="http://schemas.openxmlformats.org/officeDocument/2006/customXml" ds:itemID="{5D27D36F-F761-4DF2-BBF9-752325742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C4069-7BEA-4D71-94D3-94E0884CCA0B}">
  <ds:schemaRefs>
    <ds:schemaRef ds:uri="http://schemas.microsoft.com/sharepoint/events"/>
  </ds:schemaRefs>
</ds:datastoreItem>
</file>

<file path=customXml/itemProps4.xml><?xml version="1.0" encoding="utf-8"?>
<ds:datastoreItem xmlns:ds="http://schemas.openxmlformats.org/officeDocument/2006/customXml" ds:itemID="{EC5895EE-9BE2-439B-9FF9-7819E9A04460}">
  <ds:schemaRefs>
    <ds:schemaRef ds:uri="http://schemas.openxmlformats.org/officeDocument/2006/bibliography"/>
  </ds:schemaRefs>
</ds:datastoreItem>
</file>

<file path=customXml/itemProps5.xml><?xml version="1.0" encoding="utf-8"?>
<ds:datastoreItem xmlns:ds="http://schemas.openxmlformats.org/officeDocument/2006/customXml" ds:itemID="{97DD395B-1B9A-4564-BD00-905D77A3FE0E}">
  <ds:schemaRefs>
    <ds:schemaRef ds:uri="http://schemas.microsoft.com/office/2006/metadata/properties"/>
    <ds:schemaRef ds:uri="http://schemas.microsoft.com/office/infopath/2007/PartnerControls"/>
    <ds:schemaRef ds:uri="230c30b3-5bf2-4424-b964-6b55c85701d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3581</Words>
  <Characters>20413</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23947</CharactersWithSpaces>
  <SharedDoc>false</SharedDoc>
  <HLinks>
    <vt:vector size="6" baseType="variant">
      <vt:variant>
        <vt:i4>5636126</vt:i4>
      </vt:variant>
      <vt:variant>
        <vt:i4>0</vt:i4>
      </vt:variant>
      <vt:variant>
        <vt:i4>0</vt:i4>
      </vt:variant>
      <vt:variant>
        <vt:i4>5</vt:i4>
      </vt:variant>
      <vt:variant>
        <vt:lpwstr>https://www.seafish.org/responsible-sourcing/fisheries-management/crab-and-lobster-management-group/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2021-05-25T07:57:00Z</dcterms:created>
  <dcterms:modified xsi:type="dcterms:W3CDTF">2021-05-25T07:57:00Z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83ca5f80-9c59-438e-a99d-a9f3a75ca4a4</vt:lpwstr>
  </property>
  <property fmtid="{D5CDD505-2E9C-101B-9397-08002B2CF9AE}" pid="5" name="Outreach Doc Type">
    <vt:lpwstr/>
  </property>
  <property fmtid="{D5CDD505-2E9C-101B-9397-08002B2CF9AE}" pid="6" name="Outreach Category">
    <vt:lpwstr/>
  </property>
</Properties>
</file>